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8978" w14:textId="77777777" w:rsidR="004652F2" w:rsidRPr="004652F2" w:rsidRDefault="00D5318F" w:rsidP="004652F2">
      <w:pPr>
        <w:spacing w:line="480" w:lineRule="auto"/>
        <w:rPr>
          <w:rFonts w:ascii="Calibri" w:hAnsi="Calibri" w:cs="Calibri"/>
        </w:rPr>
      </w:pPr>
      <w:r w:rsidRPr="004652F2">
        <w:rPr>
          <w:rFonts w:ascii="Calibri" w:hAnsi="Calibri" w:cs="Calibri"/>
        </w:rPr>
        <w:t xml:space="preserve"> </w:t>
      </w:r>
    </w:p>
    <w:p w14:paraId="7523A479" w14:textId="3598701F" w:rsidR="004652F2" w:rsidRPr="00450F78" w:rsidRDefault="004652F2" w:rsidP="004652F2">
      <w:pPr>
        <w:pStyle w:val="ListParagraph"/>
        <w:numPr>
          <w:ilvl w:val="0"/>
          <w:numId w:val="1"/>
        </w:numPr>
        <w:spacing w:line="480" w:lineRule="auto"/>
        <w:rPr>
          <w:rFonts w:cs="Calibri"/>
        </w:rPr>
      </w:pPr>
      <w:r w:rsidRPr="00450F78">
        <w:rPr>
          <w:rFonts w:cs="Calibri"/>
        </w:rPr>
        <w:t>You are seeing a 12-year</w:t>
      </w:r>
      <w:r w:rsidR="00742CC1" w:rsidRPr="00450F78">
        <w:rPr>
          <w:rFonts w:cs="Calibri"/>
        </w:rPr>
        <w:t>-</w:t>
      </w:r>
      <w:r w:rsidRPr="00450F78">
        <w:rPr>
          <w:rFonts w:cs="Calibri"/>
        </w:rPr>
        <w:t>old female who presented to the emergency department with the sudden</w:t>
      </w:r>
      <w:r w:rsidR="002D5EE4" w:rsidRPr="00450F78">
        <w:rPr>
          <w:rFonts w:cs="Calibri"/>
        </w:rPr>
        <w:t xml:space="preserve"> </w:t>
      </w:r>
      <w:r w:rsidRPr="00450F78">
        <w:rPr>
          <w:rFonts w:cs="Calibri"/>
        </w:rPr>
        <w:t xml:space="preserve">onset of severe abdominal pain. </w:t>
      </w:r>
      <w:r w:rsidR="002D5EE4" w:rsidRPr="00450F78">
        <w:rPr>
          <w:rFonts w:cs="Calibri"/>
        </w:rPr>
        <w:t>Imaging</w:t>
      </w:r>
      <w:r w:rsidRPr="00450F78">
        <w:rPr>
          <w:rFonts w:cs="Calibri"/>
        </w:rPr>
        <w:t xml:space="preserve"> that was obtained to rule out appendicitis revealed a mass adjacent to the bladder. The mass was surgically resected</w:t>
      </w:r>
      <w:r w:rsidR="00742CC1" w:rsidRPr="00450F78">
        <w:rPr>
          <w:rFonts w:cs="Calibri"/>
        </w:rPr>
        <w:t>,</w:t>
      </w:r>
      <w:r w:rsidRPr="00450F78">
        <w:rPr>
          <w:rFonts w:cs="Calibri"/>
        </w:rPr>
        <w:t xml:space="preserve"> and pathology demonstrated a paraganglioma. Which of the studies </w:t>
      </w:r>
      <w:r w:rsidR="002D5EE4" w:rsidRPr="00450F78">
        <w:rPr>
          <w:rFonts w:cs="Calibri"/>
        </w:rPr>
        <w:t xml:space="preserve">below </w:t>
      </w:r>
      <w:r w:rsidRPr="00450F78">
        <w:rPr>
          <w:rFonts w:cs="Calibri"/>
        </w:rPr>
        <w:t xml:space="preserve">would be most useful </w:t>
      </w:r>
      <w:r w:rsidR="002D5EE4" w:rsidRPr="00450F78">
        <w:rPr>
          <w:rFonts w:cs="Calibri"/>
        </w:rPr>
        <w:t xml:space="preserve">to </w:t>
      </w:r>
      <w:r w:rsidRPr="00450F78">
        <w:rPr>
          <w:rFonts w:cs="Calibri"/>
        </w:rPr>
        <w:t xml:space="preserve">determine disease stage </w:t>
      </w:r>
      <w:r w:rsidR="002D5EE4" w:rsidRPr="00450F78">
        <w:rPr>
          <w:rFonts w:cs="Calibri"/>
        </w:rPr>
        <w:t xml:space="preserve">for </w:t>
      </w:r>
      <w:r w:rsidRPr="00450F78">
        <w:rPr>
          <w:rFonts w:cs="Calibri"/>
        </w:rPr>
        <w:t>this patient?</w:t>
      </w:r>
    </w:p>
    <w:p w14:paraId="7369A30D" w14:textId="77777777" w:rsidR="004652F2" w:rsidRPr="004652F2" w:rsidRDefault="004652F2" w:rsidP="004652F2">
      <w:pPr>
        <w:pStyle w:val="ListParagraph"/>
        <w:numPr>
          <w:ilvl w:val="0"/>
          <w:numId w:val="2"/>
        </w:numPr>
        <w:spacing w:line="480" w:lineRule="auto"/>
        <w:rPr>
          <w:rFonts w:cs="Calibri"/>
        </w:rPr>
      </w:pPr>
      <w:r w:rsidRPr="004652F2">
        <w:rPr>
          <w:rFonts w:cs="Calibri"/>
        </w:rPr>
        <w:t xml:space="preserve"> Bone Scan</w:t>
      </w:r>
    </w:p>
    <w:p w14:paraId="36A1158C" w14:textId="04EC46EF" w:rsidR="004652F2" w:rsidRPr="004652F2" w:rsidRDefault="004652F2" w:rsidP="004652F2">
      <w:pPr>
        <w:pStyle w:val="ListParagraph"/>
        <w:numPr>
          <w:ilvl w:val="0"/>
          <w:numId w:val="2"/>
        </w:numPr>
        <w:spacing w:line="480" w:lineRule="auto"/>
        <w:rPr>
          <w:rFonts w:cs="Calibri"/>
        </w:rPr>
      </w:pPr>
      <w:r w:rsidRPr="004652F2">
        <w:rPr>
          <w:rFonts w:cs="Calibri"/>
        </w:rPr>
        <w:t xml:space="preserve">Lumbar puncture for </w:t>
      </w:r>
      <w:r w:rsidR="00742CC1">
        <w:rPr>
          <w:rFonts w:cs="Calibri"/>
        </w:rPr>
        <w:t xml:space="preserve">cerebrospinal fluid </w:t>
      </w:r>
      <w:r w:rsidRPr="004652F2">
        <w:rPr>
          <w:rFonts w:cs="Calibri"/>
        </w:rPr>
        <w:t>cytology</w:t>
      </w:r>
    </w:p>
    <w:p w14:paraId="5CC45E05" w14:textId="77777777" w:rsidR="004652F2" w:rsidRPr="004652F2" w:rsidRDefault="004652F2" w:rsidP="004652F2">
      <w:pPr>
        <w:pStyle w:val="ListParagraph"/>
        <w:numPr>
          <w:ilvl w:val="0"/>
          <w:numId w:val="2"/>
        </w:numPr>
        <w:spacing w:line="480" w:lineRule="auto"/>
        <w:rPr>
          <w:rFonts w:cs="Calibri"/>
        </w:rPr>
      </w:pPr>
      <w:r w:rsidRPr="004652F2">
        <w:rPr>
          <w:rFonts w:cs="Calibri"/>
        </w:rPr>
        <w:t>Bone marrow aspirate and biopsy</w:t>
      </w:r>
    </w:p>
    <w:p w14:paraId="7457CE90" w14:textId="77777777" w:rsidR="004652F2" w:rsidRPr="004652F2" w:rsidRDefault="004652F2" w:rsidP="004652F2">
      <w:pPr>
        <w:pStyle w:val="ListParagraph"/>
        <w:numPr>
          <w:ilvl w:val="0"/>
          <w:numId w:val="2"/>
        </w:numPr>
        <w:spacing w:line="480" w:lineRule="auto"/>
        <w:rPr>
          <w:rFonts w:cs="Calibri"/>
          <w:highlight w:val="yellow"/>
        </w:rPr>
      </w:pPr>
      <w:r w:rsidRPr="004652F2">
        <w:rPr>
          <w:rFonts w:cs="Calibri"/>
          <w:highlight w:val="yellow"/>
        </w:rPr>
        <w:t>Ga 68-DOTATATE PET/CT</w:t>
      </w:r>
    </w:p>
    <w:p w14:paraId="679C67F7" w14:textId="77777777" w:rsidR="004652F2" w:rsidRPr="004652F2" w:rsidRDefault="004652F2" w:rsidP="004652F2">
      <w:pPr>
        <w:pStyle w:val="ListParagraph"/>
        <w:numPr>
          <w:ilvl w:val="0"/>
          <w:numId w:val="2"/>
        </w:numPr>
        <w:spacing w:line="480" w:lineRule="auto"/>
        <w:rPr>
          <w:rFonts w:cs="Calibri"/>
        </w:rPr>
      </w:pPr>
      <w:r w:rsidRPr="004652F2">
        <w:rPr>
          <w:rFonts w:cs="Calibri"/>
        </w:rPr>
        <w:t>MRI of the brain</w:t>
      </w:r>
    </w:p>
    <w:p w14:paraId="764D6018" w14:textId="77777777" w:rsidR="004652F2" w:rsidRPr="004652F2" w:rsidRDefault="004652F2" w:rsidP="004652F2">
      <w:pPr>
        <w:spacing w:line="480" w:lineRule="auto"/>
        <w:rPr>
          <w:rFonts w:ascii="Calibri" w:hAnsi="Calibri" w:cs="Calibri"/>
          <w:b/>
        </w:rPr>
      </w:pPr>
      <w:r w:rsidRPr="004652F2">
        <w:rPr>
          <w:rFonts w:ascii="Calibri" w:hAnsi="Calibri" w:cs="Calibri"/>
          <w:b/>
        </w:rPr>
        <w:t>Explanation</w:t>
      </w:r>
    </w:p>
    <w:p w14:paraId="116C721B" w14:textId="68EC9141" w:rsidR="004652F2" w:rsidRPr="004652F2" w:rsidRDefault="004652F2" w:rsidP="004652F2">
      <w:pPr>
        <w:spacing w:line="480" w:lineRule="auto"/>
        <w:rPr>
          <w:rFonts w:ascii="Calibri" w:hAnsi="Calibri" w:cs="Calibri"/>
        </w:rPr>
      </w:pPr>
      <w:r w:rsidRPr="004652F2">
        <w:rPr>
          <w:rFonts w:ascii="Calibri" w:hAnsi="Calibri" w:cs="Calibri"/>
        </w:rPr>
        <w:t xml:space="preserve">Ga 68 </w:t>
      </w:r>
      <w:proofErr w:type="spellStart"/>
      <w:r w:rsidRPr="004652F2">
        <w:rPr>
          <w:rFonts w:ascii="Calibri" w:hAnsi="Calibri" w:cs="Calibri"/>
        </w:rPr>
        <w:t>dotatate</w:t>
      </w:r>
      <w:proofErr w:type="spellEnd"/>
      <w:r w:rsidRPr="004652F2">
        <w:rPr>
          <w:rFonts w:ascii="Calibri" w:hAnsi="Calibri" w:cs="Calibri"/>
        </w:rPr>
        <w:t xml:space="preserve"> is a radioisotope that binds to the somatostatin receptor. Based on the intensity of signals</w:t>
      </w:r>
      <w:r w:rsidR="002D5EE4">
        <w:rPr>
          <w:rFonts w:ascii="Calibri" w:hAnsi="Calibri" w:cs="Calibri"/>
        </w:rPr>
        <w:t xml:space="preserve"> detected</w:t>
      </w:r>
      <w:r w:rsidRPr="004652F2">
        <w:rPr>
          <w:rFonts w:ascii="Calibri" w:hAnsi="Calibri" w:cs="Calibri"/>
        </w:rPr>
        <w:t xml:space="preserve">, PET images obtained using Ga 68 </w:t>
      </w:r>
      <w:proofErr w:type="spellStart"/>
      <w:r w:rsidRPr="004652F2">
        <w:rPr>
          <w:rFonts w:ascii="Calibri" w:hAnsi="Calibri" w:cs="Calibri"/>
        </w:rPr>
        <w:t>dotatate</w:t>
      </w:r>
      <w:proofErr w:type="spellEnd"/>
      <w:r w:rsidRPr="004652F2">
        <w:rPr>
          <w:rFonts w:ascii="Calibri" w:hAnsi="Calibri" w:cs="Calibri"/>
        </w:rPr>
        <w:t xml:space="preserve"> indicate the presence and density of somatostatin receptors in tissues. In 2016 the FDA approved Ga 68</w:t>
      </w:r>
      <w:r w:rsidR="00F517CA">
        <w:rPr>
          <w:rFonts w:ascii="Calibri" w:hAnsi="Calibri" w:cs="Calibri"/>
        </w:rPr>
        <w:t>-DOTATATE</w:t>
      </w:r>
      <w:r w:rsidR="00F517CA" w:rsidRPr="004652F2">
        <w:rPr>
          <w:rFonts w:ascii="Calibri" w:hAnsi="Calibri" w:cs="Calibri"/>
        </w:rPr>
        <w:t xml:space="preserve"> </w:t>
      </w:r>
      <w:r w:rsidRPr="004652F2">
        <w:rPr>
          <w:rFonts w:ascii="Calibri" w:hAnsi="Calibri" w:cs="Calibri"/>
        </w:rPr>
        <w:t>PET for adult and pediatric patients with somatostatin positive neuroendocrine tumors (NETs)</w:t>
      </w:r>
      <w:r w:rsidR="002D5EE4">
        <w:rPr>
          <w:rFonts w:ascii="Calibri" w:hAnsi="Calibri" w:cs="Calibri"/>
        </w:rPr>
        <w:t>,</w:t>
      </w:r>
      <w:r w:rsidRPr="004652F2">
        <w:rPr>
          <w:rFonts w:ascii="Calibri" w:hAnsi="Calibri" w:cs="Calibri"/>
        </w:rPr>
        <w:t xml:space="preserve"> including </w:t>
      </w:r>
      <w:r w:rsidR="002D5EE4">
        <w:rPr>
          <w:rFonts w:ascii="Calibri" w:hAnsi="Calibri" w:cs="Calibri"/>
        </w:rPr>
        <w:t>p</w:t>
      </w:r>
      <w:r w:rsidRPr="004652F2">
        <w:rPr>
          <w:rFonts w:ascii="Calibri" w:hAnsi="Calibri" w:cs="Calibri"/>
        </w:rPr>
        <w:t xml:space="preserve">heochromocytoma and </w:t>
      </w:r>
      <w:r w:rsidR="002D5EE4">
        <w:rPr>
          <w:rFonts w:ascii="Calibri" w:hAnsi="Calibri" w:cs="Calibri"/>
        </w:rPr>
        <w:t>p</w:t>
      </w:r>
      <w:r w:rsidRPr="004652F2">
        <w:rPr>
          <w:rFonts w:ascii="Calibri" w:hAnsi="Calibri" w:cs="Calibri"/>
        </w:rPr>
        <w:t>araganglioma</w:t>
      </w:r>
      <w:r w:rsidR="002D5EE4">
        <w:rPr>
          <w:rFonts w:ascii="Calibri" w:hAnsi="Calibri" w:cs="Calibri"/>
        </w:rPr>
        <w:t xml:space="preserve">. </w:t>
      </w:r>
      <w:r w:rsidR="002D5EE4" w:rsidRPr="004652F2">
        <w:rPr>
          <w:rFonts w:ascii="Calibri" w:hAnsi="Calibri" w:cs="Calibri"/>
        </w:rPr>
        <w:t>Ga 68</w:t>
      </w:r>
      <w:r w:rsidR="00F517CA">
        <w:rPr>
          <w:rFonts w:ascii="Calibri" w:hAnsi="Calibri" w:cs="Calibri"/>
        </w:rPr>
        <w:t>-DOTATATE</w:t>
      </w:r>
      <w:r w:rsidR="002D5EE4" w:rsidRPr="004652F2">
        <w:rPr>
          <w:rFonts w:ascii="Calibri" w:hAnsi="Calibri" w:cs="Calibri"/>
        </w:rPr>
        <w:t xml:space="preserve"> PET </w:t>
      </w:r>
      <w:r w:rsidRPr="004652F2">
        <w:rPr>
          <w:rFonts w:ascii="Calibri" w:hAnsi="Calibri" w:cs="Calibri"/>
        </w:rPr>
        <w:t xml:space="preserve">is now the gold standard imaging modality for NETs. </w:t>
      </w:r>
      <w:r w:rsidRPr="004652F2">
        <w:rPr>
          <w:rFonts w:ascii="Calibri" w:hAnsi="Calibri" w:cs="Calibri"/>
          <w:vertAlign w:val="superscript"/>
        </w:rPr>
        <w:t>123</w:t>
      </w:r>
      <w:r w:rsidRPr="004652F2">
        <w:rPr>
          <w:rFonts w:ascii="Calibri" w:hAnsi="Calibri" w:cs="Calibri"/>
        </w:rPr>
        <w:t xml:space="preserve">I-MIBG scans can also be used for the staging of </w:t>
      </w:r>
      <w:r w:rsidR="002D5EE4">
        <w:rPr>
          <w:rFonts w:ascii="Calibri" w:hAnsi="Calibri" w:cs="Calibri"/>
        </w:rPr>
        <w:t>p</w:t>
      </w:r>
      <w:r w:rsidRPr="004652F2">
        <w:rPr>
          <w:rFonts w:ascii="Calibri" w:hAnsi="Calibri" w:cs="Calibri"/>
        </w:rPr>
        <w:t xml:space="preserve">heochromocytoma and </w:t>
      </w:r>
      <w:r w:rsidR="002D5EE4">
        <w:rPr>
          <w:rFonts w:ascii="Calibri" w:hAnsi="Calibri" w:cs="Calibri"/>
        </w:rPr>
        <w:t>p</w:t>
      </w:r>
      <w:r w:rsidRPr="004652F2">
        <w:rPr>
          <w:rFonts w:ascii="Calibri" w:hAnsi="Calibri" w:cs="Calibri"/>
        </w:rPr>
        <w:t>araganglioma. Lumbar puncture, bone marrow aspirate and biopsy</w:t>
      </w:r>
      <w:r w:rsidR="00F517CA">
        <w:rPr>
          <w:rFonts w:ascii="Calibri" w:hAnsi="Calibri" w:cs="Calibri"/>
        </w:rPr>
        <w:t>,</w:t>
      </w:r>
      <w:r w:rsidRPr="004652F2">
        <w:rPr>
          <w:rFonts w:ascii="Calibri" w:hAnsi="Calibri" w:cs="Calibri"/>
        </w:rPr>
        <w:t xml:space="preserve"> and MRI of the brain are not indicated in the routine staging of these diseases. </w:t>
      </w:r>
      <w:r w:rsidR="00F517CA">
        <w:rPr>
          <w:rFonts w:ascii="Calibri" w:hAnsi="Calibri" w:cs="Calibri"/>
        </w:rPr>
        <w:t>Although</w:t>
      </w:r>
      <w:r w:rsidRPr="004652F2">
        <w:rPr>
          <w:rFonts w:ascii="Calibri" w:hAnsi="Calibri" w:cs="Calibri"/>
        </w:rPr>
        <w:t xml:space="preserve"> bone scan can detect bony metastases in pheochromocytoma and paraganglioma, Ga</w:t>
      </w:r>
      <w:r w:rsidR="00F517CA">
        <w:rPr>
          <w:rFonts w:ascii="Calibri" w:hAnsi="Calibri" w:cs="Calibri"/>
        </w:rPr>
        <w:t xml:space="preserve"> 68</w:t>
      </w:r>
      <w:r w:rsidRPr="004652F2">
        <w:rPr>
          <w:rFonts w:ascii="Calibri" w:hAnsi="Calibri" w:cs="Calibri"/>
        </w:rPr>
        <w:t>-DOTATATE PET is both more sensitive and specific.</w:t>
      </w:r>
    </w:p>
    <w:p w14:paraId="0862332E" w14:textId="77777777" w:rsidR="004652F2" w:rsidRPr="004652F2" w:rsidRDefault="004652F2" w:rsidP="004652F2">
      <w:pPr>
        <w:spacing w:line="480" w:lineRule="auto"/>
        <w:rPr>
          <w:rFonts w:ascii="Calibri" w:hAnsi="Calibri" w:cs="Calibri"/>
        </w:rPr>
      </w:pPr>
    </w:p>
    <w:p w14:paraId="3A52161F" w14:textId="568D5B88" w:rsidR="004652F2" w:rsidRPr="00450F78" w:rsidRDefault="004652F2" w:rsidP="004652F2">
      <w:pPr>
        <w:pStyle w:val="ListParagraph"/>
        <w:numPr>
          <w:ilvl w:val="0"/>
          <w:numId w:val="1"/>
        </w:numPr>
        <w:spacing w:line="480" w:lineRule="auto"/>
        <w:rPr>
          <w:rFonts w:cs="Calibri"/>
        </w:rPr>
      </w:pPr>
      <w:r w:rsidRPr="00450F78">
        <w:rPr>
          <w:rFonts w:cs="Calibri"/>
        </w:rPr>
        <w:t xml:space="preserve">Your patient with relapsed high-risk neuroblastoma returns to your care after travelling to an outside institution for </w:t>
      </w:r>
      <w:r w:rsidRPr="00450F78">
        <w:rPr>
          <w:rFonts w:cs="Calibri"/>
          <w:vertAlign w:val="superscript"/>
        </w:rPr>
        <w:t>131</w:t>
      </w:r>
      <w:r w:rsidRPr="00450F78">
        <w:rPr>
          <w:rFonts w:cs="Calibri"/>
        </w:rPr>
        <w:t xml:space="preserve">I-MIBG therapy. In the weeks following </w:t>
      </w:r>
      <w:r w:rsidRPr="00450F78">
        <w:rPr>
          <w:rFonts w:cs="Calibri"/>
          <w:vertAlign w:val="superscript"/>
        </w:rPr>
        <w:t>131</w:t>
      </w:r>
      <w:r w:rsidRPr="00450F78">
        <w:rPr>
          <w:rFonts w:cs="Calibri"/>
        </w:rPr>
        <w:t>I-MIBG therapy</w:t>
      </w:r>
      <w:r w:rsidR="00F517CA" w:rsidRPr="00450F78">
        <w:rPr>
          <w:rFonts w:cs="Calibri"/>
        </w:rPr>
        <w:t>,</w:t>
      </w:r>
      <w:r w:rsidRPr="00450F78">
        <w:rPr>
          <w:rFonts w:cs="Calibri"/>
        </w:rPr>
        <w:t xml:space="preserve"> what adverse events directly attributable to this therapy will the patient most likely encounter?</w:t>
      </w:r>
    </w:p>
    <w:p w14:paraId="7A2775C1" w14:textId="77777777" w:rsidR="004652F2" w:rsidRPr="004652F2" w:rsidRDefault="004652F2" w:rsidP="004652F2">
      <w:pPr>
        <w:pStyle w:val="ListParagraph"/>
        <w:numPr>
          <w:ilvl w:val="1"/>
          <w:numId w:val="1"/>
        </w:numPr>
        <w:spacing w:line="480" w:lineRule="auto"/>
        <w:rPr>
          <w:rFonts w:cs="Calibri"/>
          <w:highlight w:val="yellow"/>
        </w:rPr>
      </w:pPr>
      <w:r w:rsidRPr="004652F2">
        <w:rPr>
          <w:rFonts w:cs="Calibri"/>
          <w:highlight w:val="yellow"/>
        </w:rPr>
        <w:t>Myelosuppression requiring growth factor and blood product support</w:t>
      </w:r>
    </w:p>
    <w:p w14:paraId="56DD6CCA" w14:textId="77777777" w:rsidR="004652F2" w:rsidRPr="004652F2" w:rsidRDefault="004652F2" w:rsidP="004652F2">
      <w:pPr>
        <w:pStyle w:val="ListParagraph"/>
        <w:numPr>
          <w:ilvl w:val="1"/>
          <w:numId w:val="1"/>
        </w:numPr>
        <w:spacing w:line="480" w:lineRule="auto"/>
        <w:rPr>
          <w:rFonts w:cs="Calibri"/>
        </w:rPr>
      </w:pPr>
      <w:r w:rsidRPr="004652F2">
        <w:rPr>
          <w:rFonts w:cs="Calibri"/>
        </w:rPr>
        <w:t>Severe mucositis</w:t>
      </w:r>
    </w:p>
    <w:p w14:paraId="07A36F02" w14:textId="77777777" w:rsidR="004652F2" w:rsidRPr="004652F2" w:rsidRDefault="004652F2" w:rsidP="004652F2">
      <w:pPr>
        <w:pStyle w:val="ListParagraph"/>
        <w:numPr>
          <w:ilvl w:val="1"/>
          <w:numId w:val="1"/>
        </w:numPr>
        <w:spacing w:line="480" w:lineRule="auto"/>
        <w:rPr>
          <w:rFonts w:cs="Calibri"/>
        </w:rPr>
      </w:pPr>
      <w:r w:rsidRPr="004652F2">
        <w:rPr>
          <w:rFonts w:cs="Calibri"/>
        </w:rPr>
        <w:t>Hemorrhagic cystitis</w:t>
      </w:r>
    </w:p>
    <w:p w14:paraId="23E6493D" w14:textId="77777777" w:rsidR="004652F2" w:rsidRPr="004652F2" w:rsidRDefault="004652F2" w:rsidP="004652F2">
      <w:pPr>
        <w:pStyle w:val="ListParagraph"/>
        <w:numPr>
          <w:ilvl w:val="1"/>
          <w:numId w:val="1"/>
        </w:numPr>
        <w:spacing w:line="480" w:lineRule="auto"/>
        <w:rPr>
          <w:rFonts w:cs="Calibri"/>
        </w:rPr>
      </w:pPr>
      <w:r w:rsidRPr="004652F2">
        <w:rPr>
          <w:rFonts w:cs="Calibri"/>
        </w:rPr>
        <w:t>Symptomatic hypothyroidism</w:t>
      </w:r>
    </w:p>
    <w:p w14:paraId="549474C3" w14:textId="77777777" w:rsidR="004652F2" w:rsidRPr="004652F2" w:rsidRDefault="004652F2" w:rsidP="004652F2">
      <w:pPr>
        <w:pStyle w:val="ListParagraph"/>
        <w:numPr>
          <w:ilvl w:val="1"/>
          <w:numId w:val="1"/>
        </w:numPr>
        <w:spacing w:line="480" w:lineRule="auto"/>
        <w:rPr>
          <w:rFonts w:cs="Calibri"/>
        </w:rPr>
      </w:pPr>
      <w:r w:rsidRPr="004652F2">
        <w:rPr>
          <w:rFonts w:cs="Calibri"/>
        </w:rPr>
        <w:t>Renal failure</w:t>
      </w:r>
    </w:p>
    <w:p w14:paraId="5E50413E" w14:textId="77777777" w:rsidR="004652F2" w:rsidRPr="004652F2" w:rsidRDefault="004652F2" w:rsidP="004652F2">
      <w:pPr>
        <w:spacing w:line="480" w:lineRule="auto"/>
        <w:rPr>
          <w:rFonts w:ascii="Calibri" w:hAnsi="Calibri" w:cs="Calibri"/>
          <w:b/>
        </w:rPr>
      </w:pPr>
      <w:r w:rsidRPr="004652F2">
        <w:rPr>
          <w:rFonts w:ascii="Calibri" w:hAnsi="Calibri" w:cs="Calibri"/>
          <w:b/>
        </w:rPr>
        <w:t>Explanation</w:t>
      </w:r>
    </w:p>
    <w:p w14:paraId="47E3D0A6" w14:textId="23A02840" w:rsidR="004652F2" w:rsidRPr="00450F78" w:rsidRDefault="00F517CA" w:rsidP="004652F2">
      <w:pPr>
        <w:spacing w:line="480" w:lineRule="auto"/>
        <w:rPr>
          <w:rFonts w:ascii="Calibri" w:hAnsi="Calibri" w:cs="Calibri"/>
        </w:rPr>
      </w:pPr>
      <w:r>
        <w:rPr>
          <w:rFonts w:ascii="Calibri" w:hAnsi="Calibri" w:cs="Calibri"/>
        </w:rPr>
        <w:t xml:space="preserve">The correct answer is A, myelosuppression requiring growth factor and blood product support. </w:t>
      </w:r>
      <w:r w:rsidR="004652F2" w:rsidRPr="004652F2">
        <w:rPr>
          <w:rFonts w:ascii="Calibri" w:hAnsi="Calibri" w:cs="Calibri"/>
        </w:rPr>
        <w:t xml:space="preserve">The need for blood product support (both </w:t>
      </w:r>
      <w:r>
        <w:rPr>
          <w:rFonts w:ascii="Calibri" w:hAnsi="Calibri" w:cs="Calibri"/>
        </w:rPr>
        <w:t>packed red blood cells [</w:t>
      </w:r>
      <w:r w:rsidR="004652F2" w:rsidRPr="004652F2">
        <w:rPr>
          <w:rFonts w:ascii="Calibri" w:hAnsi="Calibri" w:cs="Calibri"/>
        </w:rPr>
        <w:t>PRBC</w:t>
      </w:r>
      <w:r>
        <w:rPr>
          <w:rFonts w:ascii="Calibri" w:hAnsi="Calibri" w:cs="Calibri"/>
        </w:rPr>
        <w:t>]</w:t>
      </w:r>
      <w:r w:rsidR="004652F2" w:rsidRPr="004652F2">
        <w:rPr>
          <w:rFonts w:ascii="Calibri" w:hAnsi="Calibri" w:cs="Calibri"/>
        </w:rPr>
        <w:t xml:space="preserve"> and platelets) and growth factor support in the weeks following </w:t>
      </w:r>
      <w:r w:rsidR="004652F2" w:rsidRPr="004652F2">
        <w:rPr>
          <w:rFonts w:ascii="Calibri" w:hAnsi="Calibri" w:cs="Calibri"/>
          <w:vertAlign w:val="superscript"/>
        </w:rPr>
        <w:t>131</w:t>
      </w:r>
      <w:r w:rsidR="004652F2" w:rsidRPr="004652F2">
        <w:rPr>
          <w:rFonts w:ascii="Calibri" w:hAnsi="Calibri" w:cs="Calibri"/>
        </w:rPr>
        <w:t xml:space="preserve">I-MIBG therapy is very common and expected. Many </w:t>
      </w:r>
      <w:r w:rsidR="00E80EE4">
        <w:rPr>
          <w:rFonts w:ascii="Calibri" w:hAnsi="Calibri" w:cs="Calibri"/>
        </w:rPr>
        <w:t xml:space="preserve">heavily pretreated </w:t>
      </w:r>
      <w:r w:rsidR="004652F2" w:rsidRPr="004652F2">
        <w:rPr>
          <w:rFonts w:ascii="Calibri" w:hAnsi="Calibri" w:cs="Calibri"/>
        </w:rPr>
        <w:t xml:space="preserve">patients require autologous stem cell infusion following </w:t>
      </w:r>
      <w:r w:rsidR="004652F2" w:rsidRPr="004652F2">
        <w:rPr>
          <w:rFonts w:ascii="Calibri" w:hAnsi="Calibri" w:cs="Calibri"/>
          <w:vertAlign w:val="superscript"/>
        </w:rPr>
        <w:t>131</w:t>
      </w:r>
      <w:r w:rsidR="004652F2" w:rsidRPr="004652F2">
        <w:rPr>
          <w:rFonts w:ascii="Calibri" w:hAnsi="Calibri" w:cs="Calibri"/>
        </w:rPr>
        <w:t xml:space="preserve">I-MIBG therapy. Severe mucositis and hemorrhagic cystitis are not </w:t>
      </w:r>
      <w:r w:rsidR="00E80EE4">
        <w:rPr>
          <w:rFonts w:ascii="Calibri" w:hAnsi="Calibri" w:cs="Calibri"/>
        </w:rPr>
        <w:t xml:space="preserve">commonly </w:t>
      </w:r>
      <w:r w:rsidR="004652F2" w:rsidRPr="004652F2">
        <w:rPr>
          <w:rFonts w:ascii="Calibri" w:hAnsi="Calibri" w:cs="Calibri"/>
        </w:rPr>
        <w:t xml:space="preserve">associated with </w:t>
      </w:r>
      <w:r w:rsidR="004652F2" w:rsidRPr="004652F2">
        <w:rPr>
          <w:rFonts w:ascii="Calibri" w:hAnsi="Calibri" w:cs="Calibri"/>
          <w:vertAlign w:val="superscript"/>
        </w:rPr>
        <w:t>131</w:t>
      </w:r>
      <w:r w:rsidR="004652F2" w:rsidRPr="004652F2">
        <w:rPr>
          <w:rFonts w:ascii="Calibri" w:hAnsi="Calibri" w:cs="Calibri"/>
        </w:rPr>
        <w:t xml:space="preserve">I-MIBG therapy. </w:t>
      </w:r>
      <w:r>
        <w:rPr>
          <w:rFonts w:ascii="Calibri" w:hAnsi="Calibri" w:cs="Calibri"/>
        </w:rPr>
        <w:t>Although</w:t>
      </w:r>
      <w:r w:rsidR="004652F2" w:rsidRPr="004652F2">
        <w:rPr>
          <w:rFonts w:ascii="Calibri" w:hAnsi="Calibri" w:cs="Calibri"/>
        </w:rPr>
        <w:t xml:space="preserve"> renal failure could be attributed to </w:t>
      </w:r>
      <w:r w:rsidR="004652F2" w:rsidRPr="004652F2">
        <w:rPr>
          <w:rFonts w:ascii="Calibri" w:hAnsi="Calibri" w:cs="Calibri"/>
          <w:vertAlign w:val="superscript"/>
        </w:rPr>
        <w:t>131</w:t>
      </w:r>
      <w:r w:rsidR="004652F2" w:rsidRPr="004652F2">
        <w:rPr>
          <w:rFonts w:ascii="Calibri" w:hAnsi="Calibri" w:cs="Calibri"/>
        </w:rPr>
        <w:t>I-MIBG therapy, it</w:t>
      </w:r>
      <w:r w:rsidR="00E80EE4">
        <w:rPr>
          <w:rFonts w:ascii="Calibri" w:hAnsi="Calibri" w:cs="Calibri"/>
        </w:rPr>
        <w:t xml:space="preserve"> is rare</w:t>
      </w:r>
      <w:r w:rsidR="004652F2" w:rsidRPr="004652F2">
        <w:rPr>
          <w:rFonts w:ascii="Calibri" w:hAnsi="Calibri" w:cs="Calibri"/>
        </w:rPr>
        <w:t>. Hypothyroidism is a very common finding but typically does not occur acutely</w:t>
      </w:r>
      <w:r w:rsidR="00E80EE4">
        <w:rPr>
          <w:rFonts w:ascii="Calibri" w:hAnsi="Calibri" w:cs="Calibri"/>
        </w:rPr>
        <w:t xml:space="preserve">. Evidence of </w:t>
      </w:r>
      <w:r w:rsidR="00E80EE4" w:rsidRPr="00450F78">
        <w:rPr>
          <w:rFonts w:ascii="Calibri" w:hAnsi="Calibri" w:cs="Calibri"/>
        </w:rPr>
        <w:t>effects on the thyroid is often based on laboratory studies</w:t>
      </w:r>
      <w:r w:rsidRPr="00450F78">
        <w:rPr>
          <w:rFonts w:ascii="Calibri" w:hAnsi="Calibri" w:cs="Calibri"/>
        </w:rPr>
        <w:t>,</w:t>
      </w:r>
      <w:r w:rsidR="004652F2" w:rsidRPr="00450F78">
        <w:rPr>
          <w:rFonts w:ascii="Calibri" w:hAnsi="Calibri" w:cs="Calibri"/>
        </w:rPr>
        <w:t xml:space="preserve"> and </w:t>
      </w:r>
      <w:r w:rsidR="00E80EE4" w:rsidRPr="00450F78">
        <w:rPr>
          <w:rFonts w:ascii="Calibri" w:hAnsi="Calibri" w:cs="Calibri"/>
        </w:rPr>
        <w:t>many patients are</w:t>
      </w:r>
      <w:r w:rsidR="004652F2" w:rsidRPr="00450F78">
        <w:rPr>
          <w:rFonts w:ascii="Calibri" w:hAnsi="Calibri" w:cs="Calibri"/>
        </w:rPr>
        <w:t xml:space="preserve"> asymptomatic.</w:t>
      </w:r>
    </w:p>
    <w:p w14:paraId="09C84414" w14:textId="77777777" w:rsidR="004652F2" w:rsidRPr="00450F78" w:rsidRDefault="004652F2" w:rsidP="004652F2">
      <w:pPr>
        <w:spacing w:line="480" w:lineRule="auto"/>
        <w:rPr>
          <w:rFonts w:ascii="Calibri" w:hAnsi="Calibri" w:cs="Calibri"/>
        </w:rPr>
      </w:pPr>
    </w:p>
    <w:p w14:paraId="62E86996" w14:textId="14CE74EB" w:rsidR="004652F2" w:rsidRPr="00450F78" w:rsidRDefault="004652F2" w:rsidP="004652F2">
      <w:pPr>
        <w:pStyle w:val="ListParagraph"/>
        <w:numPr>
          <w:ilvl w:val="0"/>
          <w:numId w:val="1"/>
        </w:numPr>
        <w:spacing w:line="480" w:lineRule="auto"/>
        <w:rPr>
          <w:rFonts w:cs="Calibri"/>
        </w:rPr>
      </w:pPr>
      <w:r w:rsidRPr="00450F78">
        <w:rPr>
          <w:rFonts w:cs="Calibri"/>
        </w:rPr>
        <w:t xml:space="preserve"> An </w:t>
      </w:r>
      <w:r w:rsidR="00E80EE4" w:rsidRPr="00450F78">
        <w:rPr>
          <w:rFonts w:cs="Calibri"/>
        </w:rPr>
        <w:t xml:space="preserve">otherwise healthy </w:t>
      </w:r>
      <w:r w:rsidRPr="00450F78">
        <w:rPr>
          <w:rFonts w:cs="Calibri"/>
        </w:rPr>
        <w:t>18-year</w:t>
      </w:r>
      <w:r w:rsidR="00F517CA" w:rsidRPr="00450F78">
        <w:rPr>
          <w:rFonts w:cs="Calibri"/>
        </w:rPr>
        <w:t>-</w:t>
      </w:r>
      <w:r w:rsidRPr="00450F78">
        <w:rPr>
          <w:rFonts w:cs="Calibri"/>
        </w:rPr>
        <w:t>old female is diagnosed with high-risk neuroblastoma after presenting with fatigue</w:t>
      </w:r>
      <w:r w:rsidR="00E80EE4" w:rsidRPr="00450F78">
        <w:rPr>
          <w:rFonts w:cs="Calibri"/>
        </w:rPr>
        <w:t xml:space="preserve"> and </w:t>
      </w:r>
      <w:r w:rsidRPr="00450F78">
        <w:rPr>
          <w:rFonts w:cs="Calibri"/>
        </w:rPr>
        <w:t>bony pain</w:t>
      </w:r>
      <w:r w:rsidR="00E80EE4" w:rsidRPr="00450F78">
        <w:rPr>
          <w:rFonts w:cs="Calibri"/>
        </w:rPr>
        <w:t>. I</w:t>
      </w:r>
      <w:r w:rsidRPr="00450F78">
        <w:rPr>
          <w:rFonts w:cs="Calibri"/>
        </w:rPr>
        <w:t>maging findings demonstrat</w:t>
      </w:r>
      <w:r w:rsidR="00E80EE4" w:rsidRPr="00450F78">
        <w:rPr>
          <w:rFonts w:cs="Calibri"/>
        </w:rPr>
        <w:t>e</w:t>
      </w:r>
      <w:r w:rsidRPr="00450F78">
        <w:rPr>
          <w:rFonts w:cs="Calibri"/>
        </w:rPr>
        <w:t xml:space="preserve"> a left adrenal mass </w:t>
      </w:r>
      <w:r w:rsidRPr="00450F78">
        <w:rPr>
          <w:rFonts w:cs="Calibri"/>
        </w:rPr>
        <w:lastRenderedPageBreak/>
        <w:t xml:space="preserve">with multiple osseous metastases. She successfully completes standard therapy for high-risk </w:t>
      </w:r>
      <w:proofErr w:type="gramStart"/>
      <w:r w:rsidRPr="00450F78">
        <w:rPr>
          <w:rFonts w:cs="Calibri"/>
        </w:rPr>
        <w:t>neuroblastoma</w:t>
      </w:r>
      <w:r w:rsidR="00E80EE4" w:rsidRPr="00450F78">
        <w:rPr>
          <w:rFonts w:cs="Calibri"/>
        </w:rPr>
        <w:t xml:space="preserve">, </w:t>
      </w:r>
      <w:r w:rsidR="00F517CA" w:rsidRPr="00450F78">
        <w:rPr>
          <w:rFonts w:cs="Calibri"/>
        </w:rPr>
        <w:t>but</w:t>
      </w:r>
      <w:proofErr w:type="gramEnd"/>
      <w:r w:rsidRPr="00450F78">
        <w:rPr>
          <w:rFonts w:cs="Calibri"/>
        </w:rPr>
        <w:t xml:space="preserve"> experiences several </w:t>
      </w:r>
      <w:r w:rsidR="00E80EE4" w:rsidRPr="00450F78">
        <w:rPr>
          <w:rFonts w:cs="Calibri"/>
        </w:rPr>
        <w:t xml:space="preserve">episodes of </w:t>
      </w:r>
      <w:r w:rsidRPr="00450F78">
        <w:rPr>
          <w:rFonts w:cs="Calibri"/>
        </w:rPr>
        <w:t xml:space="preserve">disease recurrence and ultimately dies of her disease 10 years after her initial diagnosis. During </w:t>
      </w:r>
      <w:r w:rsidR="00E80EE4" w:rsidRPr="00450F78">
        <w:rPr>
          <w:rFonts w:cs="Calibri"/>
        </w:rPr>
        <w:t>her treatment,</w:t>
      </w:r>
      <w:r w:rsidRPr="00450F78">
        <w:rPr>
          <w:rFonts w:cs="Calibri"/>
        </w:rPr>
        <w:t xml:space="preserve"> her tumor </w:t>
      </w:r>
      <w:r w:rsidR="00E80EE4" w:rsidRPr="00450F78">
        <w:rPr>
          <w:rFonts w:cs="Calibri"/>
        </w:rPr>
        <w:t>wa</w:t>
      </w:r>
      <w:r w:rsidRPr="00450F78">
        <w:rPr>
          <w:rFonts w:cs="Calibri"/>
        </w:rPr>
        <w:t xml:space="preserve">s sent for molecular analysis. </w:t>
      </w:r>
      <w:r w:rsidR="00E80EE4" w:rsidRPr="00450F78">
        <w:rPr>
          <w:rFonts w:cs="Calibri"/>
        </w:rPr>
        <w:t>Of the following, w</w:t>
      </w:r>
      <w:r w:rsidRPr="00450F78">
        <w:rPr>
          <w:rFonts w:cs="Calibri"/>
        </w:rPr>
        <w:t xml:space="preserve">hat molecular aberration </w:t>
      </w:r>
      <w:r w:rsidR="00E80EE4" w:rsidRPr="00450F78">
        <w:rPr>
          <w:rFonts w:cs="Calibri"/>
        </w:rPr>
        <w:t>wa</w:t>
      </w:r>
      <w:r w:rsidRPr="00450F78">
        <w:rPr>
          <w:rFonts w:cs="Calibri"/>
        </w:rPr>
        <w:t xml:space="preserve">s most likely to </w:t>
      </w:r>
      <w:r w:rsidR="00E80EE4" w:rsidRPr="00450F78">
        <w:rPr>
          <w:rFonts w:cs="Calibri"/>
        </w:rPr>
        <w:t xml:space="preserve">have been </w:t>
      </w:r>
      <w:r w:rsidRPr="00450F78">
        <w:rPr>
          <w:rFonts w:cs="Calibri"/>
        </w:rPr>
        <w:t>detected?</w:t>
      </w:r>
    </w:p>
    <w:p w14:paraId="092793C9" w14:textId="4F681AFC" w:rsidR="004652F2" w:rsidRPr="00F517CA" w:rsidRDefault="00397928" w:rsidP="004652F2">
      <w:pPr>
        <w:pStyle w:val="ListParagraph"/>
        <w:numPr>
          <w:ilvl w:val="1"/>
          <w:numId w:val="1"/>
        </w:numPr>
        <w:spacing w:line="480" w:lineRule="auto"/>
        <w:rPr>
          <w:rFonts w:cs="Calibri"/>
          <w:iCs/>
        </w:rPr>
      </w:pPr>
      <w:r w:rsidRPr="00F517CA">
        <w:rPr>
          <w:rFonts w:cs="Calibri"/>
          <w:i/>
        </w:rPr>
        <w:t>ET</w:t>
      </w:r>
      <w:r w:rsidR="002946DE" w:rsidRPr="00F517CA">
        <w:rPr>
          <w:rFonts w:cs="Calibri"/>
          <w:i/>
        </w:rPr>
        <w:t>V6-</w:t>
      </w:r>
      <w:r w:rsidRPr="00F517CA">
        <w:rPr>
          <w:rFonts w:cs="Calibri"/>
          <w:i/>
        </w:rPr>
        <w:t>NTRK</w:t>
      </w:r>
      <w:r w:rsidR="002946DE" w:rsidRPr="00F517CA">
        <w:rPr>
          <w:rFonts w:cs="Calibri"/>
          <w:i/>
        </w:rPr>
        <w:t>3</w:t>
      </w:r>
      <w:r w:rsidRPr="00D12E3B">
        <w:rPr>
          <w:rFonts w:cs="Calibri"/>
          <w:iCs/>
        </w:rPr>
        <w:t xml:space="preserve"> gene fusion</w:t>
      </w:r>
    </w:p>
    <w:p w14:paraId="4E5D35E6" w14:textId="77777777" w:rsidR="004652F2" w:rsidRPr="00F517CA" w:rsidRDefault="004652F2" w:rsidP="004652F2">
      <w:pPr>
        <w:pStyle w:val="ListParagraph"/>
        <w:numPr>
          <w:ilvl w:val="1"/>
          <w:numId w:val="1"/>
        </w:numPr>
        <w:spacing w:line="480" w:lineRule="auto"/>
        <w:rPr>
          <w:rFonts w:cs="Calibri"/>
          <w:iCs/>
        </w:rPr>
      </w:pPr>
      <w:r w:rsidRPr="00F517CA">
        <w:rPr>
          <w:rFonts w:cs="Calibri"/>
          <w:i/>
        </w:rPr>
        <w:t>PTPN11</w:t>
      </w:r>
      <w:r w:rsidRPr="00F517CA">
        <w:rPr>
          <w:rFonts w:cs="Calibri"/>
          <w:iCs/>
        </w:rPr>
        <w:t xml:space="preserve"> mutation</w:t>
      </w:r>
    </w:p>
    <w:p w14:paraId="68E99504" w14:textId="77777777" w:rsidR="004652F2" w:rsidRPr="004652F2" w:rsidRDefault="004652F2" w:rsidP="004652F2">
      <w:pPr>
        <w:pStyle w:val="ListParagraph"/>
        <w:numPr>
          <w:ilvl w:val="1"/>
          <w:numId w:val="1"/>
        </w:numPr>
        <w:spacing w:line="480" w:lineRule="auto"/>
        <w:rPr>
          <w:rFonts w:cs="Calibri"/>
          <w:highlight w:val="yellow"/>
        </w:rPr>
      </w:pPr>
      <w:r w:rsidRPr="004652F2">
        <w:rPr>
          <w:rFonts w:cs="Calibri"/>
          <w:i/>
          <w:highlight w:val="yellow"/>
        </w:rPr>
        <w:t>ATRX</w:t>
      </w:r>
      <w:r w:rsidRPr="004652F2">
        <w:rPr>
          <w:rFonts w:cs="Calibri"/>
          <w:highlight w:val="yellow"/>
        </w:rPr>
        <w:t xml:space="preserve"> mutation</w:t>
      </w:r>
    </w:p>
    <w:p w14:paraId="640699D6" w14:textId="77777777" w:rsidR="004652F2" w:rsidRPr="004652F2" w:rsidRDefault="004652F2" w:rsidP="004652F2">
      <w:pPr>
        <w:pStyle w:val="ListParagraph"/>
        <w:numPr>
          <w:ilvl w:val="1"/>
          <w:numId w:val="1"/>
        </w:numPr>
        <w:spacing w:line="480" w:lineRule="auto"/>
        <w:rPr>
          <w:rFonts w:cs="Calibri"/>
        </w:rPr>
      </w:pPr>
      <w:r w:rsidRPr="00D12E3B">
        <w:rPr>
          <w:rFonts w:cs="Calibri"/>
          <w:i/>
          <w:iCs/>
        </w:rPr>
        <w:t>WT1</w:t>
      </w:r>
      <w:r w:rsidRPr="004652F2">
        <w:rPr>
          <w:rFonts w:cs="Calibri"/>
        </w:rPr>
        <w:t xml:space="preserve"> mutation</w:t>
      </w:r>
    </w:p>
    <w:p w14:paraId="6C488958" w14:textId="77777777" w:rsidR="004652F2" w:rsidRPr="004652F2" w:rsidRDefault="004652F2" w:rsidP="004652F2">
      <w:pPr>
        <w:pStyle w:val="ListParagraph"/>
        <w:numPr>
          <w:ilvl w:val="1"/>
          <w:numId w:val="1"/>
        </w:numPr>
        <w:spacing w:line="480" w:lineRule="auto"/>
        <w:rPr>
          <w:rFonts w:cs="Calibri"/>
        </w:rPr>
      </w:pPr>
      <w:r w:rsidRPr="004652F2">
        <w:rPr>
          <w:rFonts w:cs="Calibri"/>
          <w:i/>
        </w:rPr>
        <w:t>MYCN</w:t>
      </w:r>
      <w:r w:rsidRPr="004652F2">
        <w:rPr>
          <w:rFonts w:cs="Calibri"/>
        </w:rPr>
        <w:t xml:space="preserve"> amplification</w:t>
      </w:r>
    </w:p>
    <w:p w14:paraId="35C9F6AC" w14:textId="77777777" w:rsidR="004652F2" w:rsidRPr="004652F2" w:rsidRDefault="004652F2" w:rsidP="004652F2">
      <w:pPr>
        <w:spacing w:line="480" w:lineRule="auto"/>
        <w:ind w:left="720"/>
        <w:rPr>
          <w:rFonts w:ascii="Calibri" w:hAnsi="Calibri" w:cs="Calibri"/>
          <w:b/>
        </w:rPr>
      </w:pPr>
      <w:r w:rsidRPr="004652F2">
        <w:rPr>
          <w:rFonts w:ascii="Calibri" w:hAnsi="Calibri" w:cs="Calibri"/>
          <w:b/>
        </w:rPr>
        <w:t>Explanation</w:t>
      </w:r>
    </w:p>
    <w:p w14:paraId="2008E826" w14:textId="45621984" w:rsidR="004652F2" w:rsidRPr="004652F2" w:rsidRDefault="004652F2" w:rsidP="004652F2">
      <w:pPr>
        <w:spacing w:line="480" w:lineRule="auto"/>
        <w:ind w:left="720"/>
        <w:rPr>
          <w:rFonts w:ascii="Calibri" w:hAnsi="Calibri" w:cs="Calibri"/>
        </w:rPr>
      </w:pPr>
      <w:r w:rsidRPr="004652F2">
        <w:rPr>
          <w:rFonts w:ascii="Calibri" w:hAnsi="Calibri" w:cs="Calibri"/>
        </w:rPr>
        <w:t>Inactivating mutations in</w:t>
      </w:r>
      <w:r w:rsidR="00E80EE4">
        <w:rPr>
          <w:rFonts w:ascii="Calibri" w:hAnsi="Calibri" w:cs="Calibri"/>
        </w:rPr>
        <w:t xml:space="preserve"> the </w:t>
      </w:r>
      <w:r w:rsidRPr="004652F2">
        <w:rPr>
          <w:rFonts w:ascii="Calibri" w:hAnsi="Calibri" w:cs="Calibri"/>
          <w:i/>
        </w:rPr>
        <w:t>ATRX</w:t>
      </w:r>
      <w:r w:rsidRPr="004652F2">
        <w:rPr>
          <w:rFonts w:ascii="Calibri" w:hAnsi="Calibri" w:cs="Calibri"/>
        </w:rPr>
        <w:t xml:space="preserve"> chromatin remodeling gene are found in 14% of patients with high-risk neuroblastoma</w:t>
      </w:r>
      <w:r w:rsidR="00A64CF3">
        <w:rPr>
          <w:rFonts w:ascii="Calibri" w:hAnsi="Calibri" w:cs="Calibri"/>
        </w:rPr>
        <w:t xml:space="preserve"> and in 44% of adolescent and adult patients with metastatic neuroblastoma</w:t>
      </w:r>
      <w:r w:rsidRPr="004652F2">
        <w:rPr>
          <w:rFonts w:ascii="Calibri" w:hAnsi="Calibri" w:cs="Calibri"/>
        </w:rPr>
        <w:t xml:space="preserve">. </w:t>
      </w:r>
      <w:r w:rsidR="00A64CF3">
        <w:rPr>
          <w:rFonts w:ascii="Calibri" w:hAnsi="Calibri" w:cs="Calibri"/>
        </w:rPr>
        <w:t>In addition to the association with older age at diagnosis</w:t>
      </w:r>
      <w:r w:rsidRPr="004652F2">
        <w:rPr>
          <w:rFonts w:ascii="Calibri" w:hAnsi="Calibri" w:cs="Calibri"/>
        </w:rPr>
        <w:t>,</w:t>
      </w:r>
      <w:r w:rsidR="00A64CF3">
        <w:rPr>
          <w:rFonts w:ascii="Calibri" w:hAnsi="Calibri" w:cs="Calibri"/>
        </w:rPr>
        <w:t xml:space="preserve"> this mutation is associated with</w:t>
      </w:r>
      <w:r w:rsidRPr="004652F2">
        <w:rPr>
          <w:rFonts w:ascii="Calibri" w:hAnsi="Calibri" w:cs="Calibri"/>
        </w:rPr>
        <w:t xml:space="preserve"> an indolent disease course and poor overall survival</w:t>
      </w:r>
      <w:r w:rsidR="00F517CA">
        <w:rPr>
          <w:rFonts w:ascii="Calibri" w:hAnsi="Calibri" w:cs="Calibri"/>
        </w:rPr>
        <w:t>,</w:t>
      </w:r>
      <w:r w:rsidRPr="004652F2">
        <w:rPr>
          <w:rFonts w:ascii="Calibri" w:hAnsi="Calibri" w:cs="Calibri"/>
        </w:rPr>
        <w:t xml:space="preserve"> as </w:t>
      </w:r>
      <w:r w:rsidR="00F517CA">
        <w:rPr>
          <w:rFonts w:ascii="Calibri" w:hAnsi="Calibri" w:cs="Calibri"/>
        </w:rPr>
        <w:t xml:space="preserve">is </w:t>
      </w:r>
      <w:r w:rsidRPr="004652F2">
        <w:rPr>
          <w:rFonts w:ascii="Calibri" w:hAnsi="Calibri" w:cs="Calibri"/>
        </w:rPr>
        <w:t xml:space="preserve">seen in this patient’s case. </w:t>
      </w:r>
      <w:r w:rsidR="00397928">
        <w:rPr>
          <w:rFonts w:ascii="Calibri" w:hAnsi="Calibri" w:cs="Calibri"/>
          <w:i/>
        </w:rPr>
        <w:t>ETV6</w:t>
      </w:r>
      <w:r w:rsidR="002946DE">
        <w:rPr>
          <w:rFonts w:ascii="Calibri" w:hAnsi="Calibri" w:cs="Calibri"/>
          <w:i/>
        </w:rPr>
        <w:t>-</w:t>
      </w:r>
      <w:r w:rsidR="00397928">
        <w:rPr>
          <w:rFonts w:ascii="Calibri" w:hAnsi="Calibri" w:cs="Calibri"/>
          <w:i/>
        </w:rPr>
        <w:t>NTRK</w:t>
      </w:r>
      <w:r w:rsidR="002946DE">
        <w:rPr>
          <w:rFonts w:ascii="Calibri" w:hAnsi="Calibri" w:cs="Calibri"/>
          <w:i/>
        </w:rPr>
        <w:t>3</w:t>
      </w:r>
      <w:r w:rsidR="00397928">
        <w:rPr>
          <w:rFonts w:ascii="Calibri" w:hAnsi="Calibri" w:cs="Calibri"/>
          <w:i/>
        </w:rPr>
        <w:t xml:space="preserve"> </w:t>
      </w:r>
      <w:r w:rsidR="00397928" w:rsidRPr="00D12E3B">
        <w:rPr>
          <w:rFonts w:ascii="Calibri" w:hAnsi="Calibri" w:cs="Calibri"/>
          <w:iCs/>
        </w:rPr>
        <w:t>gene fusions are charact</w:t>
      </w:r>
      <w:r w:rsidR="00A64CF3" w:rsidRPr="00D12E3B">
        <w:rPr>
          <w:rFonts w:ascii="Calibri" w:hAnsi="Calibri" w:cs="Calibri"/>
          <w:iCs/>
        </w:rPr>
        <w:t>eristic</w:t>
      </w:r>
      <w:r w:rsidR="00397928" w:rsidRPr="00D12E3B">
        <w:rPr>
          <w:rFonts w:ascii="Calibri" w:hAnsi="Calibri" w:cs="Calibri"/>
          <w:iCs/>
        </w:rPr>
        <w:t xml:space="preserve"> of infantile fibrosarcoma and cellular congenital mesoblastic nephroma. Although </w:t>
      </w:r>
      <w:r w:rsidR="00397928" w:rsidRPr="00F517CA">
        <w:rPr>
          <w:rFonts w:ascii="Calibri" w:hAnsi="Calibri" w:cs="Calibri"/>
          <w:i/>
        </w:rPr>
        <w:t>NTRK</w:t>
      </w:r>
      <w:r w:rsidR="00397928" w:rsidRPr="00D12E3B">
        <w:rPr>
          <w:rFonts w:ascii="Calibri" w:hAnsi="Calibri" w:cs="Calibri"/>
          <w:iCs/>
        </w:rPr>
        <w:t xml:space="preserve"> aberrations can be seen in neuroblastoma, this specific fusion product is not</w:t>
      </w:r>
      <w:r w:rsidRPr="00F517CA">
        <w:rPr>
          <w:rFonts w:ascii="Calibri" w:hAnsi="Calibri" w:cs="Calibri"/>
          <w:iCs/>
        </w:rPr>
        <w:t>.</w:t>
      </w:r>
      <w:r w:rsidRPr="004652F2">
        <w:rPr>
          <w:rFonts w:ascii="Calibri" w:hAnsi="Calibri" w:cs="Calibri"/>
        </w:rPr>
        <w:t xml:space="preserve"> </w:t>
      </w:r>
      <w:r w:rsidRPr="004652F2">
        <w:rPr>
          <w:rFonts w:ascii="Calibri" w:hAnsi="Calibri" w:cs="Calibri"/>
          <w:i/>
        </w:rPr>
        <w:t xml:space="preserve">PTPN11 </w:t>
      </w:r>
      <w:r w:rsidRPr="004652F2">
        <w:rPr>
          <w:rFonts w:ascii="Calibri" w:hAnsi="Calibri" w:cs="Calibri"/>
        </w:rPr>
        <w:t xml:space="preserve">mutations are seen in neuroblastoma, particularly in patients with a germline mutation </w:t>
      </w:r>
      <w:r w:rsidR="00E80EE4">
        <w:rPr>
          <w:rFonts w:ascii="Calibri" w:hAnsi="Calibri" w:cs="Calibri"/>
        </w:rPr>
        <w:t>and phenotypic evidence of</w:t>
      </w:r>
      <w:r w:rsidRPr="004652F2">
        <w:rPr>
          <w:rFonts w:ascii="Calibri" w:hAnsi="Calibri" w:cs="Calibri"/>
        </w:rPr>
        <w:t xml:space="preserve"> Noonan’s syndrome. These mutations are also not associated with older age or an indolent disease course. </w:t>
      </w:r>
      <w:r w:rsidRPr="004652F2">
        <w:rPr>
          <w:rFonts w:ascii="Calibri" w:hAnsi="Calibri" w:cs="Calibri"/>
          <w:i/>
        </w:rPr>
        <w:t>WT</w:t>
      </w:r>
      <w:r w:rsidR="00F517CA">
        <w:rPr>
          <w:rFonts w:ascii="Calibri" w:hAnsi="Calibri" w:cs="Calibri"/>
          <w:i/>
        </w:rPr>
        <w:t>1</w:t>
      </w:r>
      <w:r w:rsidRPr="004652F2">
        <w:rPr>
          <w:rFonts w:ascii="Calibri" w:hAnsi="Calibri" w:cs="Calibri"/>
        </w:rPr>
        <w:t xml:space="preserve"> mutations are not associated with neuroblastoma. </w:t>
      </w:r>
      <w:r w:rsidR="00397928" w:rsidRPr="00397928">
        <w:rPr>
          <w:rFonts w:ascii="Calibri" w:hAnsi="Calibri" w:cs="Calibri"/>
          <w:i/>
        </w:rPr>
        <w:t>MYCN</w:t>
      </w:r>
      <w:r w:rsidR="00397928">
        <w:rPr>
          <w:rFonts w:ascii="Calibri" w:hAnsi="Calibri" w:cs="Calibri"/>
        </w:rPr>
        <w:t xml:space="preserve"> amplification is incorrect </w:t>
      </w:r>
      <w:r w:rsidR="004977AF">
        <w:rPr>
          <w:rFonts w:ascii="Calibri" w:hAnsi="Calibri" w:cs="Calibri"/>
        </w:rPr>
        <w:t>because</w:t>
      </w:r>
      <w:r w:rsidR="00397928">
        <w:rPr>
          <w:rFonts w:ascii="Calibri" w:hAnsi="Calibri" w:cs="Calibri"/>
        </w:rPr>
        <w:t xml:space="preserve"> the incidence of </w:t>
      </w:r>
      <w:r w:rsidR="00397928" w:rsidRPr="00397928">
        <w:rPr>
          <w:rFonts w:ascii="Calibri" w:hAnsi="Calibri" w:cs="Calibri"/>
          <w:i/>
        </w:rPr>
        <w:t>MYCN</w:t>
      </w:r>
      <w:r w:rsidR="00397928">
        <w:rPr>
          <w:rFonts w:ascii="Calibri" w:hAnsi="Calibri" w:cs="Calibri"/>
        </w:rPr>
        <w:t xml:space="preserve"> </w:t>
      </w:r>
      <w:r w:rsidR="00397928">
        <w:rPr>
          <w:rFonts w:ascii="Calibri" w:hAnsi="Calibri" w:cs="Calibri"/>
        </w:rPr>
        <w:lastRenderedPageBreak/>
        <w:t>amplification is low in older patients</w:t>
      </w:r>
      <w:r w:rsidR="002946DE">
        <w:rPr>
          <w:rFonts w:ascii="Calibri" w:hAnsi="Calibri" w:cs="Calibri"/>
        </w:rPr>
        <w:t xml:space="preserve"> </w:t>
      </w:r>
      <w:r w:rsidR="00397928">
        <w:rPr>
          <w:rFonts w:ascii="Calibri" w:hAnsi="Calibri" w:cs="Calibri"/>
        </w:rPr>
        <w:t xml:space="preserve">with neuroblastoma </w:t>
      </w:r>
      <w:r w:rsidR="002946DE">
        <w:rPr>
          <w:rFonts w:ascii="Calibri" w:hAnsi="Calibri" w:cs="Calibri"/>
        </w:rPr>
        <w:t>(approximately 3%)</w:t>
      </w:r>
      <w:r w:rsidR="004977AF">
        <w:rPr>
          <w:rFonts w:ascii="Calibri" w:hAnsi="Calibri" w:cs="Calibri"/>
        </w:rPr>
        <w:t>,</w:t>
      </w:r>
      <w:r w:rsidR="002946DE">
        <w:rPr>
          <w:rFonts w:ascii="Calibri" w:hAnsi="Calibri" w:cs="Calibri"/>
        </w:rPr>
        <w:t xml:space="preserve"> </w:t>
      </w:r>
      <w:r w:rsidR="00397928">
        <w:rPr>
          <w:rFonts w:ascii="Calibri" w:hAnsi="Calibri" w:cs="Calibri"/>
        </w:rPr>
        <w:t xml:space="preserve">whereas the incidence of </w:t>
      </w:r>
      <w:r w:rsidR="00397928" w:rsidRPr="00397928">
        <w:rPr>
          <w:rFonts w:ascii="Calibri" w:hAnsi="Calibri" w:cs="Calibri"/>
          <w:i/>
        </w:rPr>
        <w:t>ATRX</w:t>
      </w:r>
      <w:r w:rsidR="00397928">
        <w:rPr>
          <w:rFonts w:ascii="Calibri" w:hAnsi="Calibri" w:cs="Calibri"/>
        </w:rPr>
        <w:t xml:space="preserve"> mutations </w:t>
      </w:r>
      <w:r w:rsidR="00A64CF3">
        <w:rPr>
          <w:rFonts w:ascii="Calibri" w:hAnsi="Calibri" w:cs="Calibri"/>
        </w:rPr>
        <w:t>is</w:t>
      </w:r>
      <w:r w:rsidR="00397928">
        <w:rPr>
          <w:rFonts w:ascii="Calibri" w:hAnsi="Calibri" w:cs="Calibri"/>
        </w:rPr>
        <w:t xml:space="preserve"> higher. Of note, </w:t>
      </w:r>
      <w:r w:rsidRPr="00397928">
        <w:rPr>
          <w:rFonts w:ascii="Calibri" w:hAnsi="Calibri" w:cs="Calibri"/>
          <w:i/>
        </w:rPr>
        <w:t>ATRX</w:t>
      </w:r>
      <w:r w:rsidRPr="004652F2">
        <w:rPr>
          <w:rFonts w:ascii="Calibri" w:hAnsi="Calibri" w:cs="Calibri"/>
        </w:rPr>
        <w:t xml:space="preserve"> mutations are mutually exclusive of </w:t>
      </w:r>
      <w:r w:rsidRPr="00D12E3B">
        <w:rPr>
          <w:rFonts w:ascii="Calibri" w:hAnsi="Calibri" w:cs="Calibri"/>
          <w:i/>
          <w:iCs/>
        </w:rPr>
        <w:t>MYCN</w:t>
      </w:r>
      <w:r w:rsidRPr="004652F2">
        <w:rPr>
          <w:rFonts w:ascii="Calibri" w:hAnsi="Calibri" w:cs="Calibri"/>
        </w:rPr>
        <w:t xml:space="preserve"> amplification in neuroblastoma</w:t>
      </w:r>
      <w:r w:rsidR="004977AF">
        <w:rPr>
          <w:rFonts w:ascii="Calibri" w:hAnsi="Calibri" w:cs="Calibri"/>
        </w:rPr>
        <w:t>.</w:t>
      </w:r>
    </w:p>
    <w:p w14:paraId="10BEAE1C" w14:textId="77777777" w:rsidR="004652F2" w:rsidRPr="004652F2" w:rsidRDefault="004652F2" w:rsidP="004652F2">
      <w:pPr>
        <w:spacing w:line="480" w:lineRule="auto"/>
        <w:ind w:left="720"/>
        <w:rPr>
          <w:rFonts w:ascii="Calibri" w:hAnsi="Calibri" w:cs="Calibri"/>
          <w:color w:val="FF0000"/>
        </w:rPr>
      </w:pPr>
    </w:p>
    <w:p w14:paraId="7E2A1367" w14:textId="419BB386" w:rsidR="004652F2" w:rsidRPr="00450F78" w:rsidRDefault="004652F2" w:rsidP="004652F2">
      <w:pPr>
        <w:pStyle w:val="ListParagraph"/>
        <w:numPr>
          <w:ilvl w:val="0"/>
          <w:numId w:val="1"/>
        </w:numPr>
        <w:spacing w:line="480" w:lineRule="auto"/>
        <w:rPr>
          <w:rFonts w:cs="Calibri"/>
        </w:rPr>
      </w:pPr>
      <w:r w:rsidRPr="00450F78">
        <w:rPr>
          <w:rFonts w:cs="Calibri"/>
          <w:color w:val="000000" w:themeColor="text1"/>
        </w:rPr>
        <w:t xml:space="preserve">You have been asked to see a 10-month-old boy with irritability, periorbital </w:t>
      </w:r>
      <w:r w:rsidR="00EF755E" w:rsidRPr="00450F78">
        <w:rPr>
          <w:rFonts w:cs="Calibri"/>
          <w:color w:val="000000" w:themeColor="text1"/>
        </w:rPr>
        <w:t>ecchymoses</w:t>
      </w:r>
      <w:r w:rsidRPr="00450F78">
        <w:rPr>
          <w:rFonts w:cs="Calibri"/>
          <w:color w:val="000000" w:themeColor="text1"/>
        </w:rPr>
        <w:t xml:space="preserve">, and proptosis. </w:t>
      </w:r>
      <w:r w:rsidR="00EF755E" w:rsidRPr="00450F78">
        <w:rPr>
          <w:rFonts w:cs="Calibri"/>
          <w:color w:val="000000" w:themeColor="text1"/>
        </w:rPr>
        <w:t>Head imaging</w:t>
      </w:r>
      <w:r w:rsidRPr="00450F78">
        <w:rPr>
          <w:rFonts w:cs="Calibri"/>
          <w:color w:val="000000" w:themeColor="text1"/>
        </w:rPr>
        <w:t xml:space="preserve"> </w:t>
      </w:r>
      <w:r w:rsidR="00EF755E" w:rsidRPr="00450F78">
        <w:rPr>
          <w:rFonts w:cs="Calibri"/>
          <w:color w:val="000000" w:themeColor="text1"/>
        </w:rPr>
        <w:t xml:space="preserve">shows </w:t>
      </w:r>
      <w:r w:rsidRPr="00450F78">
        <w:rPr>
          <w:rFonts w:cs="Calibri"/>
          <w:color w:val="000000" w:themeColor="text1"/>
        </w:rPr>
        <w:t>a soft</w:t>
      </w:r>
      <w:r w:rsidR="004977AF" w:rsidRPr="00450F78">
        <w:rPr>
          <w:rFonts w:cs="Calibri"/>
          <w:color w:val="000000" w:themeColor="text1"/>
        </w:rPr>
        <w:t>-</w:t>
      </w:r>
      <w:r w:rsidRPr="00450F78">
        <w:rPr>
          <w:rFonts w:cs="Calibri"/>
          <w:color w:val="000000" w:themeColor="text1"/>
        </w:rPr>
        <w:t xml:space="preserve">tissue mass arising from the zygomatic arch and displacing the orbit. A large, locally invasive retroperitoneal mass </w:t>
      </w:r>
      <w:r w:rsidR="00EF755E" w:rsidRPr="00450F78">
        <w:rPr>
          <w:rFonts w:cs="Calibri"/>
          <w:color w:val="000000" w:themeColor="text1"/>
        </w:rPr>
        <w:t>that encases abdominal vasculature is also</w:t>
      </w:r>
      <w:r w:rsidRPr="00450F78">
        <w:rPr>
          <w:rFonts w:cs="Calibri"/>
          <w:color w:val="000000" w:themeColor="text1"/>
        </w:rPr>
        <w:t xml:space="preserve"> detected. </w:t>
      </w:r>
      <w:r w:rsidR="00EF755E" w:rsidRPr="00450F78">
        <w:rPr>
          <w:rFonts w:cs="Calibri"/>
          <w:color w:val="000000" w:themeColor="text1"/>
        </w:rPr>
        <w:t xml:space="preserve">MIBG scan also shows multiple sites of </w:t>
      </w:r>
      <w:proofErr w:type="spellStart"/>
      <w:r w:rsidR="00EF755E" w:rsidRPr="00450F78">
        <w:rPr>
          <w:rFonts w:cs="Calibri"/>
          <w:color w:val="000000" w:themeColor="text1"/>
        </w:rPr>
        <w:t>osteomedullary</w:t>
      </w:r>
      <w:proofErr w:type="spellEnd"/>
      <w:r w:rsidR="00EF755E" w:rsidRPr="00450F78">
        <w:rPr>
          <w:rFonts w:cs="Calibri"/>
          <w:color w:val="000000" w:themeColor="text1"/>
        </w:rPr>
        <w:t xml:space="preserve"> disease throughout the body. </w:t>
      </w:r>
      <w:r w:rsidRPr="00450F78">
        <w:rPr>
          <w:rFonts w:cs="Calibri"/>
          <w:color w:val="000000" w:themeColor="text1"/>
        </w:rPr>
        <w:t xml:space="preserve">Tumor biopsy confirms poorly differentiated neuroblastoma with </w:t>
      </w:r>
      <w:r w:rsidRPr="00450F78">
        <w:rPr>
          <w:rFonts w:cs="Calibri"/>
          <w:i/>
          <w:color w:val="000000" w:themeColor="text1"/>
        </w:rPr>
        <w:t>MYCN</w:t>
      </w:r>
      <w:r w:rsidRPr="00450F78">
        <w:rPr>
          <w:rFonts w:cs="Calibri"/>
          <w:color w:val="000000" w:themeColor="text1"/>
        </w:rPr>
        <w:t xml:space="preserve"> amplification. Bilateral bone marrow aspirate</w:t>
      </w:r>
      <w:r w:rsidR="00EF755E" w:rsidRPr="00450F78">
        <w:rPr>
          <w:rFonts w:cs="Calibri"/>
          <w:color w:val="000000" w:themeColor="text1"/>
        </w:rPr>
        <w:t>s</w:t>
      </w:r>
      <w:r w:rsidRPr="00450F78">
        <w:rPr>
          <w:rFonts w:cs="Calibri"/>
          <w:color w:val="000000" w:themeColor="text1"/>
        </w:rPr>
        <w:t xml:space="preserve"> and biopsies are positive for tumor cells.</w:t>
      </w:r>
      <w:r w:rsidRPr="00450F78">
        <w:rPr>
          <w:rFonts w:cs="Calibri"/>
          <w:color w:val="FF0000"/>
        </w:rPr>
        <w:t xml:space="preserve"> </w:t>
      </w:r>
    </w:p>
    <w:p w14:paraId="2F374F34" w14:textId="77777777" w:rsidR="004652F2" w:rsidRPr="00FF7FE1" w:rsidRDefault="004652F2" w:rsidP="004652F2">
      <w:pPr>
        <w:pStyle w:val="ListParagraph"/>
        <w:spacing w:line="480" w:lineRule="auto"/>
        <w:ind w:left="360"/>
        <w:rPr>
          <w:rFonts w:cs="Calibri"/>
          <w:color w:val="000000" w:themeColor="text1"/>
          <w:highlight w:val="yellow"/>
        </w:rPr>
      </w:pPr>
    </w:p>
    <w:p w14:paraId="77E6503C" w14:textId="567B7AB0" w:rsidR="004652F2" w:rsidRPr="004652F2" w:rsidRDefault="004652F2" w:rsidP="004652F2">
      <w:pPr>
        <w:pStyle w:val="ListParagraph"/>
        <w:spacing w:line="480" w:lineRule="auto"/>
        <w:ind w:left="360"/>
        <w:rPr>
          <w:rFonts w:cs="Calibri"/>
          <w:color w:val="000000" w:themeColor="text1"/>
        </w:rPr>
      </w:pPr>
      <w:r w:rsidRPr="00FF7FE1">
        <w:rPr>
          <w:rFonts w:cs="Calibri"/>
          <w:color w:val="000000" w:themeColor="text1"/>
          <w:highlight w:val="yellow"/>
        </w:rPr>
        <w:t>Which statement is most accurate</w:t>
      </w:r>
      <w:r w:rsidR="004977AF">
        <w:rPr>
          <w:rFonts w:cs="Calibri"/>
          <w:color w:val="000000" w:themeColor="text1"/>
          <w:highlight w:val="yellow"/>
        </w:rPr>
        <w:t xml:space="preserve"> regarding this patient</w:t>
      </w:r>
      <w:r w:rsidRPr="00FF7FE1">
        <w:rPr>
          <w:rFonts w:cs="Calibri"/>
          <w:color w:val="000000" w:themeColor="text1"/>
          <w:highlight w:val="yellow"/>
        </w:rPr>
        <w:t>?</w:t>
      </w:r>
    </w:p>
    <w:p w14:paraId="59A0FF89" w14:textId="77777777" w:rsidR="004652F2" w:rsidRPr="004652F2" w:rsidRDefault="004652F2" w:rsidP="004652F2">
      <w:pPr>
        <w:pStyle w:val="ListParagraph"/>
        <w:spacing w:line="480" w:lineRule="auto"/>
        <w:ind w:left="360"/>
        <w:rPr>
          <w:rFonts w:cs="Calibri"/>
          <w:color w:val="000000" w:themeColor="text1"/>
        </w:rPr>
      </w:pPr>
    </w:p>
    <w:p w14:paraId="107820C9" w14:textId="26E7262E" w:rsidR="004652F2" w:rsidRPr="004652F2" w:rsidRDefault="004652F2" w:rsidP="004652F2">
      <w:pPr>
        <w:pStyle w:val="ListParagraph"/>
        <w:numPr>
          <w:ilvl w:val="1"/>
          <w:numId w:val="1"/>
        </w:numPr>
        <w:spacing w:line="480" w:lineRule="auto"/>
        <w:rPr>
          <w:rFonts w:cs="Calibri"/>
          <w:color w:val="000000" w:themeColor="text1"/>
        </w:rPr>
      </w:pPr>
      <w:r w:rsidRPr="004652F2">
        <w:rPr>
          <w:rFonts w:cs="Calibri"/>
          <w:color w:val="000000" w:themeColor="text1"/>
        </w:rPr>
        <w:t>The patient has high-risk neuroblastoma and should receive neoadjuvant chemotherapy followed</w:t>
      </w:r>
      <w:r w:rsidR="00EF755E">
        <w:rPr>
          <w:rFonts w:cs="Calibri"/>
          <w:color w:val="000000" w:themeColor="text1"/>
        </w:rPr>
        <w:t xml:space="preserve"> by </w:t>
      </w:r>
      <w:r w:rsidRPr="004652F2">
        <w:rPr>
          <w:rFonts w:cs="Calibri"/>
          <w:color w:val="000000" w:themeColor="text1"/>
        </w:rPr>
        <w:t>a single cycle of myeloablative chemotherapy and autologous stem cell rescue</w:t>
      </w:r>
      <w:r w:rsidR="00EF755E">
        <w:rPr>
          <w:rFonts w:cs="Calibri"/>
          <w:color w:val="000000" w:themeColor="text1"/>
        </w:rPr>
        <w:t xml:space="preserve">. The primary tumor should be </w:t>
      </w:r>
      <w:proofErr w:type="spellStart"/>
      <w:r w:rsidR="00EF755E">
        <w:rPr>
          <w:rFonts w:cs="Calibri"/>
          <w:color w:val="000000" w:themeColor="text1"/>
        </w:rPr>
        <w:t>resected</w:t>
      </w:r>
      <w:proofErr w:type="spellEnd"/>
      <w:r w:rsidR="004977AF">
        <w:rPr>
          <w:rFonts w:cs="Calibri"/>
          <w:color w:val="000000" w:themeColor="text1"/>
        </w:rPr>
        <w:t>,</w:t>
      </w:r>
      <w:r w:rsidR="00EF755E">
        <w:rPr>
          <w:rFonts w:cs="Calibri"/>
          <w:color w:val="000000" w:themeColor="text1"/>
        </w:rPr>
        <w:t xml:space="preserve"> but r</w:t>
      </w:r>
      <w:r w:rsidRPr="004652F2">
        <w:rPr>
          <w:rFonts w:cs="Calibri"/>
          <w:color w:val="000000" w:themeColor="text1"/>
        </w:rPr>
        <w:t>adiation</w:t>
      </w:r>
      <w:r w:rsidR="00397928">
        <w:rPr>
          <w:rFonts w:cs="Calibri"/>
          <w:color w:val="000000" w:themeColor="text1"/>
        </w:rPr>
        <w:t xml:space="preserve"> and immunotherapy</w:t>
      </w:r>
      <w:r w:rsidRPr="004652F2">
        <w:rPr>
          <w:rFonts w:cs="Calibri"/>
          <w:color w:val="000000" w:themeColor="text1"/>
        </w:rPr>
        <w:t xml:space="preserve"> </w:t>
      </w:r>
      <w:r w:rsidR="00EF755E">
        <w:rPr>
          <w:rFonts w:cs="Calibri"/>
          <w:color w:val="000000" w:themeColor="text1"/>
        </w:rPr>
        <w:t xml:space="preserve">should not be administered </w:t>
      </w:r>
      <w:r w:rsidR="004977AF">
        <w:rPr>
          <w:rFonts w:cs="Calibri"/>
          <w:color w:val="000000" w:themeColor="text1"/>
        </w:rPr>
        <w:t>because of</w:t>
      </w:r>
      <w:r w:rsidR="00EF755E">
        <w:rPr>
          <w:rFonts w:cs="Calibri"/>
          <w:color w:val="000000" w:themeColor="text1"/>
        </w:rPr>
        <w:t xml:space="preserve"> the </w:t>
      </w:r>
      <w:r w:rsidR="004977AF">
        <w:rPr>
          <w:rFonts w:cs="Calibri"/>
          <w:color w:val="000000" w:themeColor="text1"/>
        </w:rPr>
        <w:t xml:space="preserve">patient’s </w:t>
      </w:r>
      <w:r w:rsidR="00EF755E">
        <w:rPr>
          <w:rFonts w:cs="Calibri"/>
          <w:color w:val="000000" w:themeColor="text1"/>
        </w:rPr>
        <w:t>young age.</w:t>
      </w:r>
    </w:p>
    <w:p w14:paraId="6B8E75B7" w14:textId="77777777" w:rsidR="004652F2" w:rsidRPr="004652F2" w:rsidRDefault="004652F2" w:rsidP="004652F2">
      <w:pPr>
        <w:pStyle w:val="ListParagraph"/>
        <w:numPr>
          <w:ilvl w:val="1"/>
          <w:numId w:val="1"/>
        </w:numPr>
        <w:spacing w:line="480" w:lineRule="auto"/>
        <w:rPr>
          <w:rFonts w:cs="Calibri"/>
        </w:rPr>
      </w:pPr>
      <w:r w:rsidRPr="004652F2">
        <w:rPr>
          <w:rFonts w:cs="Calibri"/>
          <w:color w:val="000000" w:themeColor="text1"/>
        </w:rPr>
        <w:t>The patient has high-risk neuroblastoma and should undergo immediate resection of the tumor, followed by chemotherapy and radiation therapy to primary tumor and metastatic disease sites.</w:t>
      </w:r>
    </w:p>
    <w:p w14:paraId="5346DE3F" w14:textId="19BBC174" w:rsidR="004652F2" w:rsidRPr="004652F2" w:rsidRDefault="004652F2" w:rsidP="004652F2">
      <w:pPr>
        <w:pStyle w:val="ListParagraph"/>
        <w:numPr>
          <w:ilvl w:val="1"/>
          <w:numId w:val="1"/>
        </w:numPr>
        <w:spacing w:line="480" w:lineRule="auto"/>
        <w:rPr>
          <w:rFonts w:cs="Calibri"/>
        </w:rPr>
      </w:pPr>
      <w:r w:rsidRPr="004652F2">
        <w:rPr>
          <w:rFonts w:cs="Calibri"/>
          <w:color w:val="000000" w:themeColor="text1"/>
        </w:rPr>
        <w:lastRenderedPageBreak/>
        <w:t>The patient has intermediate-risk disease and should receive neoadjuvant chemotherapy followed by surgical resection of the primary tumor and radiation therapy to the primary tumor bed</w:t>
      </w:r>
      <w:r w:rsidR="00EF755E">
        <w:rPr>
          <w:rFonts w:cs="Calibri"/>
          <w:color w:val="000000" w:themeColor="text1"/>
        </w:rPr>
        <w:t>,</w:t>
      </w:r>
      <w:r w:rsidRPr="004652F2">
        <w:rPr>
          <w:rFonts w:cs="Calibri"/>
          <w:color w:val="000000" w:themeColor="text1"/>
        </w:rPr>
        <w:t xml:space="preserve"> regardless of extent of resection.</w:t>
      </w:r>
    </w:p>
    <w:p w14:paraId="60C8FEF6" w14:textId="1C8C6682" w:rsidR="004652F2" w:rsidRPr="004652F2" w:rsidRDefault="004652F2" w:rsidP="004652F2">
      <w:pPr>
        <w:pStyle w:val="ListParagraph"/>
        <w:numPr>
          <w:ilvl w:val="1"/>
          <w:numId w:val="1"/>
        </w:numPr>
        <w:spacing w:line="480" w:lineRule="auto"/>
        <w:rPr>
          <w:rFonts w:cs="Calibri"/>
        </w:rPr>
      </w:pPr>
      <w:r w:rsidRPr="004652F2">
        <w:rPr>
          <w:rFonts w:cs="Calibri"/>
          <w:color w:val="000000" w:themeColor="text1"/>
        </w:rPr>
        <w:t>The patient has intermediate-risk disease and should receive neoadjuvant chemotherapy followed by surgical resection of the primary and radiation only to residual tumor.</w:t>
      </w:r>
    </w:p>
    <w:p w14:paraId="19EA08AC" w14:textId="751F06DC" w:rsidR="004652F2" w:rsidRPr="004652F2" w:rsidRDefault="004652F2" w:rsidP="004652F2">
      <w:pPr>
        <w:pStyle w:val="ListParagraph"/>
        <w:numPr>
          <w:ilvl w:val="1"/>
          <w:numId w:val="1"/>
        </w:numPr>
        <w:spacing w:line="480" w:lineRule="auto"/>
        <w:rPr>
          <w:rFonts w:cs="Calibri"/>
        </w:rPr>
      </w:pPr>
      <w:r w:rsidRPr="004652F2">
        <w:rPr>
          <w:rFonts w:cs="Calibri"/>
          <w:color w:val="000000" w:themeColor="text1"/>
          <w:highlight w:val="yellow"/>
        </w:rPr>
        <w:t xml:space="preserve">This patient has high-risk disease and should receive </w:t>
      </w:r>
      <w:r w:rsidR="00EF755E">
        <w:rPr>
          <w:rFonts w:cs="Calibri"/>
          <w:color w:val="000000" w:themeColor="text1"/>
          <w:highlight w:val="yellow"/>
        </w:rPr>
        <w:t xml:space="preserve">induction therapy that includes </w:t>
      </w:r>
      <w:r w:rsidRPr="004652F2">
        <w:rPr>
          <w:rFonts w:cs="Calibri"/>
          <w:color w:val="000000" w:themeColor="text1"/>
          <w:highlight w:val="yellow"/>
        </w:rPr>
        <w:t>neoadjuvant chemotherapy</w:t>
      </w:r>
      <w:r w:rsidR="00EF755E">
        <w:rPr>
          <w:rFonts w:cs="Calibri"/>
          <w:color w:val="000000" w:themeColor="text1"/>
          <w:highlight w:val="yellow"/>
        </w:rPr>
        <w:t xml:space="preserve"> and</w:t>
      </w:r>
      <w:r w:rsidRPr="004652F2">
        <w:rPr>
          <w:rFonts w:cs="Calibri"/>
          <w:color w:val="000000" w:themeColor="text1"/>
          <w:highlight w:val="yellow"/>
        </w:rPr>
        <w:t xml:space="preserve"> surgical resection </w:t>
      </w:r>
      <w:r w:rsidR="00EF755E">
        <w:rPr>
          <w:rFonts w:cs="Calibri"/>
          <w:color w:val="000000" w:themeColor="text1"/>
          <w:highlight w:val="yellow"/>
        </w:rPr>
        <w:t xml:space="preserve">of the primary tumor. This should be </w:t>
      </w:r>
      <w:r w:rsidRPr="004652F2">
        <w:rPr>
          <w:rFonts w:cs="Calibri"/>
          <w:color w:val="000000" w:themeColor="text1"/>
          <w:highlight w:val="yellow"/>
        </w:rPr>
        <w:t xml:space="preserve">followed </w:t>
      </w:r>
      <w:r w:rsidR="00EF755E">
        <w:rPr>
          <w:rFonts w:cs="Calibri"/>
          <w:color w:val="000000" w:themeColor="text1"/>
          <w:highlight w:val="yellow"/>
        </w:rPr>
        <w:t xml:space="preserve">by </w:t>
      </w:r>
      <w:r w:rsidRPr="004652F2">
        <w:rPr>
          <w:rFonts w:cs="Calibri"/>
          <w:color w:val="000000" w:themeColor="text1"/>
          <w:highlight w:val="yellow"/>
        </w:rPr>
        <w:t>tandem myeloablative chemotherapy and autologous stem cell rescue, external beam radiotherapy</w:t>
      </w:r>
      <w:r w:rsidR="004977AF">
        <w:rPr>
          <w:rFonts w:cs="Calibri"/>
          <w:color w:val="000000" w:themeColor="text1"/>
          <w:highlight w:val="yellow"/>
        </w:rPr>
        <w:t>,</w:t>
      </w:r>
      <w:r w:rsidRPr="004652F2">
        <w:rPr>
          <w:rFonts w:cs="Calibri"/>
          <w:color w:val="000000" w:themeColor="text1"/>
          <w:highlight w:val="yellow"/>
        </w:rPr>
        <w:t xml:space="preserve"> and immunotherapy/cis-retinoic acid.</w:t>
      </w:r>
    </w:p>
    <w:p w14:paraId="425B7824" w14:textId="77777777" w:rsidR="004652F2" w:rsidRPr="004652F2" w:rsidRDefault="004652F2" w:rsidP="004652F2">
      <w:pPr>
        <w:pStyle w:val="ListParagraph"/>
        <w:spacing w:line="480" w:lineRule="auto"/>
        <w:ind w:left="1080"/>
        <w:rPr>
          <w:rFonts w:cs="Calibri"/>
          <w:b/>
        </w:rPr>
      </w:pPr>
    </w:p>
    <w:p w14:paraId="4A1CC5C2" w14:textId="77777777" w:rsidR="004652F2" w:rsidRPr="004652F2" w:rsidRDefault="004652F2" w:rsidP="004652F2">
      <w:pPr>
        <w:pStyle w:val="ListParagraph"/>
        <w:spacing w:line="480" w:lineRule="auto"/>
        <w:ind w:left="1080"/>
        <w:rPr>
          <w:rFonts w:cs="Calibri"/>
          <w:b/>
        </w:rPr>
      </w:pPr>
      <w:r w:rsidRPr="004652F2">
        <w:rPr>
          <w:rFonts w:cs="Calibri"/>
          <w:b/>
        </w:rPr>
        <w:t>Explanation</w:t>
      </w:r>
    </w:p>
    <w:p w14:paraId="4CDB84A8" w14:textId="1AAC24EC" w:rsidR="004652F2" w:rsidRPr="004652F2" w:rsidRDefault="004652F2" w:rsidP="004652F2">
      <w:pPr>
        <w:pStyle w:val="ListParagraph"/>
        <w:spacing w:line="480" w:lineRule="auto"/>
        <w:ind w:left="1080"/>
        <w:rPr>
          <w:rFonts w:cs="Calibri"/>
        </w:rPr>
      </w:pPr>
      <w:r w:rsidRPr="004652F2">
        <w:rPr>
          <w:rFonts w:cs="Calibri"/>
        </w:rPr>
        <w:t xml:space="preserve">This 10-month-old has INSS stage 4/INRG stage M neuroblastoma with </w:t>
      </w:r>
      <w:r w:rsidRPr="00397928">
        <w:rPr>
          <w:rFonts w:cs="Calibri"/>
          <w:i/>
          <w:iCs/>
        </w:rPr>
        <w:t>MYCN</w:t>
      </w:r>
      <w:r w:rsidRPr="004652F2">
        <w:rPr>
          <w:rFonts w:cs="Calibri"/>
        </w:rPr>
        <w:t xml:space="preserve"> amplification and thus has high-risk neuroblastoma</w:t>
      </w:r>
      <w:r w:rsidR="002D5EE4">
        <w:rPr>
          <w:rFonts w:cs="Calibri"/>
        </w:rPr>
        <w:t xml:space="preserve"> even though he is very young</w:t>
      </w:r>
      <w:r w:rsidRPr="004652F2">
        <w:rPr>
          <w:rFonts w:cs="Calibri"/>
        </w:rPr>
        <w:t>. Current standard</w:t>
      </w:r>
      <w:r w:rsidR="004977AF">
        <w:rPr>
          <w:rFonts w:cs="Calibri"/>
        </w:rPr>
        <w:t>-</w:t>
      </w:r>
      <w:r w:rsidRPr="004652F2">
        <w:rPr>
          <w:rFonts w:cs="Calibri"/>
        </w:rPr>
        <w:t>of</w:t>
      </w:r>
      <w:r w:rsidR="004977AF">
        <w:rPr>
          <w:rFonts w:cs="Calibri"/>
        </w:rPr>
        <w:t>-</w:t>
      </w:r>
      <w:r w:rsidRPr="004652F2">
        <w:rPr>
          <w:rFonts w:cs="Calibri"/>
        </w:rPr>
        <w:t>care therapy for high-risk neuroblastoma in North America includes induction (chemotherapy and surgical resection), consolidation (tandem myeloablative chemotherapy followed by stem cell rescue and external beam radiotherapy)</w:t>
      </w:r>
      <w:r w:rsidR="004977AF">
        <w:rPr>
          <w:rFonts w:cs="Calibri"/>
        </w:rPr>
        <w:t>,</w:t>
      </w:r>
      <w:r w:rsidRPr="004652F2">
        <w:rPr>
          <w:rFonts w:cs="Calibri"/>
        </w:rPr>
        <w:t xml:space="preserve"> and post-consolidation therapy (immunotherapy </w:t>
      </w:r>
      <w:r w:rsidR="004977AF">
        <w:rPr>
          <w:rFonts w:cs="Calibri"/>
        </w:rPr>
        <w:t>plus</w:t>
      </w:r>
      <w:r w:rsidRPr="004652F2">
        <w:rPr>
          <w:rFonts w:cs="Calibri"/>
        </w:rPr>
        <w:t xml:space="preserve"> cis retinoic acid).</w:t>
      </w:r>
    </w:p>
    <w:p w14:paraId="1C7D116D" w14:textId="77777777" w:rsidR="004652F2" w:rsidRPr="004652F2" w:rsidRDefault="004652F2" w:rsidP="004652F2">
      <w:pPr>
        <w:pStyle w:val="ListParagraph"/>
        <w:spacing w:line="480" w:lineRule="auto"/>
        <w:ind w:left="1080"/>
        <w:rPr>
          <w:rFonts w:cs="Calibri"/>
        </w:rPr>
      </w:pPr>
    </w:p>
    <w:p w14:paraId="051247C3" w14:textId="25F50DE7" w:rsidR="004652F2" w:rsidRPr="00450F78" w:rsidRDefault="004652F2" w:rsidP="004652F2">
      <w:pPr>
        <w:pStyle w:val="ListParagraph"/>
        <w:numPr>
          <w:ilvl w:val="0"/>
          <w:numId w:val="1"/>
        </w:numPr>
        <w:spacing w:line="480" w:lineRule="auto"/>
        <w:rPr>
          <w:rFonts w:cs="Calibri"/>
        </w:rPr>
      </w:pPr>
      <w:r w:rsidRPr="00450F78">
        <w:rPr>
          <w:rFonts w:cs="Calibri"/>
        </w:rPr>
        <w:t>A 3-year</w:t>
      </w:r>
      <w:r w:rsidR="004977AF" w:rsidRPr="00450F78">
        <w:rPr>
          <w:rFonts w:cs="Calibri"/>
        </w:rPr>
        <w:t>-</w:t>
      </w:r>
      <w:r w:rsidRPr="00450F78">
        <w:rPr>
          <w:rFonts w:cs="Calibri"/>
        </w:rPr>
        <w:t>old female is referred to you from rheumatology</w:t>
      </w:r>
      <w:r w:rsidR="004977AF" w:rsidRPr="00450F78">
        <w:rPr>
          <w:rFonts w:cs="Calibri"/>
        </w:rPr>
        <w:t>,</w:t>
      </w:r>
      <w:r w:rsidRPr="00450F78">
        <w:rPr>
          <w:rFonts w:cs="Calibri"/>
        </w:rPr>
        <w:t xml:space="preserve"> where she was being evaluate</w:t>
      </w:r>
      <w:r w:rsidR="002D5EE4" w:rsidRPr="00450F78">
        <w:rPr>
          <w:rFonts w:cs="Calibri"/>
        </w:rPr>
        <w:t>d</w:t>
      </w:r>
      <w:r w:rsidRPr="00450F78">
        <w:rPr>
          <w:rFonts w:cs="Calibri"/>
        </w:rPr>
        <w:t xml:space="preserve"> for hip pain and fevers. MRI of her pelvis showed diffuse </w:t>
      </w:r>
      <w:r w:rsidR="002D5EE4" w:rsidRPr="00450F78">
        <w:rPr>
          <w:rFonts w:cs="Calibri"/>
        </w:rPr>
        <w:t xml:space="preserve">but </w:t>
      </w:r>
      <w:r w:rsidRPr="00450F78">
        <w:rPr>
          <w:rFonts w:cs="Calibri"/>
        </w:rPr>
        <w:t xml:space="preserve">heterogenous marrow </w:t>
      </w:r>
      <w:r w:rsidRPr="00450F78">
        <w:rPr>
          <w:rFonts w:cs="Calibri"/>
        </w:rPr>
        <w:lastRenderedPageBreak/>
        <w:t>replacement. Her complete blood count (CBC) reveals very mild leukopenia and thrombocytopenia. Given the MRI and CBC findings</w:t>
      </w:r>
      <w:r w:rsidR="004977AF" w:rsidRPr="00450F78">
        <w:rPr>
          <w:rFonts w:cs="Calibri"/>
        </w:rPr>
        <w:t>,</w:t>
      </w:r>
      <w:r w:rsidRPr="00450F78">
        <w:rPr>
          <w:rFonts w:cs="Calibri"/>
        </w:rPr>
        <w:t xml:space="preserve"> you proceed with a bone marrow aspirate and biopsy. The hematopathologist tells you that</w:t>
      </w:r>
      <w:r w:rsidR="004977AF" w:rsidRPr="00450F78">
        <w:rPr>
          <w:rFonts w:cs="Calibri"/>
        </w:rPr>
        <w:t>,</w:t>
      </w:r>
      <w:r w:rsidRPr="00450F78">
        <w:rPr>
          <w:rFonts w:cs="Calibri"/>
        </w:rPr>
        <w:t xml:space="preserve"> on preliminary evaluation</w:t>
      </w:r>
      <w:r w:rsidR="004977AF" w:rsidRPr="00450F78">
        <w:rPr>
          <w:rFonts w:cs="Calibri"/>
        </w:rPr>
        <w:t>,</w:t>
      </w:r>
      <w:r w:rsidRPr="00450F78">
        <w:rPr>
          <w:rFonts w:cs="Calibri"/>
        </w:rPr>
        <w:t xml:space="preserve"> the marrow appears to be infiltrated with a malignant solid tumor. </w:t>
      </w:r>
      <w:proofErr w:type="spellStart"/>
      <w:r w:rsidR="00165E16" w:rsidRPr="00450F78">
        <w:rPr>
          <w:rFonts w:cs="Calibri"/>
        </w:rPr>
        <w:t>Immunostains</w:t>
      </w:r>
      <w:proofErr w:type="spellEnd"/>
      <w:r w:rsidR="00165E16" w:rsidRPr="00450F78">
        <w:rPr>
          <w:rFonts w:cs="Calibri"/>
        </w:rPr>
        <w:t xml:space="preserve"> are positive for S100, </w:t>
      </w:r>
      <w:r w:rsidR="00F763B1" w:rsidRPr="00450F78">
        <w:rPr>
          <w:rFonts w:cs="Calibri"/>
        </w:rPr>
        <w:t>synaptophysin</w:t>
      </w:r>
      <w:r w:rsidR="004977AF" w:rsidRPr="00450F78">
        <w:rPr>
          <w:rFonts w:cs="Calibri"/>
        </w:rPr>
        <w:t>,</w:t>
      </w:r>
      <w:r w:rsidR="00F763B1" w:rsidRPr="00450F78">
        <w:rPr>
          <w:rFonts w:cs="Calibri"/>
        </w:rPr>
        <w:t xml:space="preserve"> and neuron</w:t>
      </w:r>
      <w:r w:rsidR="004977AF" w:rsidRPr="00450F78">
        <w:rPr>
          <w:rFonts w:cs="Calibri"/>
        </w:rPr>
        <w:t>-</w:t>
      </w:r>
      <w:r w:rsidR="00F763B1" w:rsidRPr="00450F78">
        <w:rPr>
          <w:rFonts w:cs="Calibri"/>
        </w:rPr>
        <w:t>specific enolase</w:t>
      </w:r>
      <w:r w:rsidRPr="00450F78">
        <w:rPr>
          <w:rFonts w:cs="Calibri"/>
        </w:rPr>
        <w:t>. Given th</w:t>
      </w:r>
      <w:r w:rsidR="00F763B1" w:rsidRPr="00450F78">
        <w:rPr>
          <w:rFonts w:cs="Calibri"/>
        </w:rPr>
        <w:t>ese</w:t>
      </w:r>
      <w:r w:rsidRPr="00450F78">
        <w:rPr>
          <w:rFonts w:cs="Calibri"/>
        </w:rPr>
        <w:t xml:space="preserve"> finding</w:t>
      </w:r>
      <w:r w:rsidR="00F763B1" w:rsidRPr="00450F78">
        <w:rPr>
          <w:rFonts w:cs="Calibri"/>
        </w:rPr>
        <w:t>s</w:t>
      </w:r>
      <w:r w:rsidRPr="00450F78">
        <w:rPr>
          <w:rFonts w:cs="Calibri"/>
        </w:rPr>
        <w:t xml:space="preserve">, </w:t>
      </w:r>
      <w:r w:rsidR="004977AF" w:rsidRPr="00450F78">
        <w:rPr>
          <w:rFonts w:cs="Calibri"/>
        </w:rPr>
        <w:t>cross-</w:t>
      </w:r>
      <w:r w:rsidR="002D5EE4" w:rsidRPr="00450F78">
        <w:rPr>
          <w:rFonts w:cs="Calibri"/>
        </w:rPr>
        <w:t>sectional imaging is</w:t>
      </w:r>
      <w:r w:rsidRPr="00450F78">
        <w:rPr>
          <w:rFonts w:cs="Calibri"/>
        </w:rPr>
        <w:t xml:space="preserve"> performed</w:t>
      </w:r>
      <w:r w:rsidR="004977AF" w:rsidRPr="00450F78">
        <w:rPr>
          <w:rFonts w:cs="Calibri"/>
        </w:rPr>
        <w:t>,</w:t>
      </w:r>
      <w:r w:rsidRPr="00450F78">
        <w:rPr>
          <w:rFonts w:cs="Calibri"/>
        </w:rPr>
        <w:t xml:space="preserve"> but the radiologist</w:t>
      </w:r>
      <w:r w:rsidR="002D5EE4" w:rsidRPr="00450F78">
        <w:rPr>
          <w:rFonts w:cs="Calibri"/>
        </w:rPr>
        <w:t>s</w:t>
      </w:r>
      <w:r w:rsidRPr="00450F78">
        <w:rPr>
          <w:rFonts w:cs="Calibri"/>
        </w:rPr>
        <w:t xml:space="preserve"> are unable to locate a primary tumor. </w:t>
      </w:r>
      <w:r w:rsidR="00F763B1" w:rsidRPr="00450F78">
        <w:rPr>
          <w:rFonts w:cs="Calibri"/>
        </w:rPr>
        <w:t>In the absence of a tumor biopsy, w</w:t>
      </w:r>
      <w:r w:rsidRPr="00450F78">
        <w:rPr>
          <w:rFonts w:cs="Calibri"/>
        </w:rPr>
        <w:t>hat additional finding will confirm a definitive diagnosis of neuroblastoma?</w:t>
      </w:r>
    </w:p>
    <w:p w14:paraId="2957AA0E" w14:textId="77777777" w:rsidR="004652F2" w:rsidRPr="004652F2" w:rsidRDefault="004652F2" w:rsidP="004652F2">
      <w:pPr>
        <w:pStyle w:val="ListParagraph"/>
        <w:spacing w:line="480" w:lineRule="auto"/>
        <w:ind w:left="360"/>
        <w:rPr>
          <w:rFonts w:cs="Calibri"/>
        </w:rPr>
      </w:pPr>
    </w:p>
    <w:p w14:paraId="2323A6FE" w14:textId="77777777" w:rsidR="004652F2" w:rsidRPr="004652F2" w:rsidRDefault="004652F2" w:rsidP="004652F2">
      <w:pPr>
        <w:pStyle w:val="ListParagraph"/>
        <w:numPr>
          <w:ilvl w:val="1"/>
          <w:numId w:val="1"/>
        </w:numPr>
        <w:spacing w:line="480" w:lineRule="auto"/>
        <w:rPr>
          <w:rFonts w:cs="Calibri"/>
        </w:rPr>
      </w:pPr>
      <w:r w:rsidRPr="004652F2">
        <w:rPr>
          <w:rFonts w:cs="Calibri"/>
        </w:rPr>
        <w:t>Elevated serum alpha fetoprotein (AFP)</w:t>
      </w:r>
    </w:p>
    <w:p w14:paraId="29CA11D3" w14:textId="77777777" w:rsidR="004652F2" w:rsidRPr="004652F2" w:rsidRDefault="004652F2" w:rsidP="004652F2">
      <w:pPr>
        <w:pStyle w:val="ListParagraph"/>
        <w:numPr>
          <w:ilvl w:val="1"/>
          <w:numId w:val="1"/>
        </w:numPr>
        <w:spacing w:line="480" w:lineRule="auto"/>
        <w:rPr>
          <w:rFonts w:cs="Calibri"/>
          <w:highlight w:val="yellow"/>
        </w:rPr>
      </w:pPr>
      <w:r w:rsidRPr="004652F2">
        <w:rPr>
          <w:rFonts w:cs="Calibri"/>
          <w:highlight w:val="yellow"/>
        </w:rPr>
        <w:t>Elevated urine catecholamines (HVA/VMA)</w:t>
      </w:r>
    </w:p>
    <w:p w14:paraId="481AA44B" w14:textId="77777777" w:rsidR="004652F2" w:rsidRPr="004652F2" w:rsidRDefault="004652F2" w:rsidP="004652F2">
      <w:pPr>
        <w:pStyle w:val="ListParagraph"/>
        <w:numPr>
          <w:ilvl w:val="1"/>
          <w:numId w:val="1"/>
        </w:numPr>
        <w:spacing w:line="480" w:lineRule="auto"/>
        <w:rPr>
          <w:rFonts w:cs="Calibri"/>
        </w:rPr>
      </w:pPr>
      <w:r w:rsidRPr="004652F2">
        <w:rPr>
          <w:rFonts w:cs="Calibri"/>
        </w:rPr>
        <w:t>Elevated ferritin</w:t>
      </w:r>
    </w:p>
    <w:p w14:paraId="411DA684" w14:textId="3A4F0922" w:rsidR="004652F2" w:rsidRPr="004652F2" w:rsidRDefault="004652F2" w:rsidP="004652F2">
      <w:pPr>
        <w:pStyle w:val="ListParagraph"/>
        <w:numPr>
          <w:ilvl w:val="1"/>
          <w:numId w:val="1"/>
        </w:numPr>
        <w:spacing w:line="480" w:lineRule="auto"/>
        <w:rPr>
          <w:rFonts w:cs="Calibri"/>
        </w:rPr>
      </w:pPr>
      <w:r w:rsidRPr="004652F2">
        <w:rPr>
          <w:rFonts w:cs="Calibri"/>
        </w:rPr>
        <w:t xml:space="preserve">Elevated </w:t>
      </w:r>
      <w:r w:rsidR="004977AF">
        <w:rPr>
          <w:rFonts w:cs="Calibri"/>
        </w:rPr>
        <w:t>l</w:t>
      </w:r>
      <w:r w:rsidR="004977AF" w:rsidRPr="004977AF">
        <w:rPr>
          <w:rFonts w:cs="Calibri"/>
        </w:rPr>
        <w:t xml:space="preserve">actate dehydrogenase </w:t>
      </w:r>
      <w:r w:rsidR="004977AF">
        <w:rPr>
          <w:rFonts w:cs="Calibri"/>
        </w:rPr>
        <w:t>(</w:t>
      </w:r>
      <w:r w:rsidRPr="004652F2">
        <w:rPr>
          <w:rFonts w:cs="Calibri"/>
        </w:rPr>
        <w:t>LDH</w:t>
      </w:r>
      <w:r w:rsidR="004977AF">
        <w:rPr>
          <w:rFonts w:cs="Calibri"/>
        </w:rPr>
        <w:t>)</w:t>
      </w:r>
    </w:p>
    <w:p w14:paraId="2989E48E" w14:textId="77777777" w:rsidR="004652F2" w:rsidRPr="004652F2" w:rsidRDefault="004652F2" w:rsidP="004652F2">
      <w:pPr>
        <w:pStyle w:val="ListParagraph"/>
        <w:numPr>
          <w:ilvl w:val="1"/>
          <w:numId w:val="1"/>
        </w:numPr>
        <w:spacing w:line="480" w:lineRule="auto"/>
        <w:rPr>
          <w:rFonts w:cs="Calibri"/>
        </w:rPr>
      </w:pPr>
      <w:r w:rsidRPr="004652F2">
        <w:rPr>
          <w:rFonts w:cs="Calibri"/>
        </w:rPr>
        <w:t>PET/CT demonstrating numerous osseous metastases</w:t>
      </w:r>
    </w:p>
    <w:p w14:paraId="2A11E3D2" w14:textId="77777777" w:rsidR="004652F2" w:rsidRPr="004652F2" w:rsidRDefault="004652F2" w:rsidP="004652F2">
      <w:pPr>
        <w:spacing w:line="480" w:lineRule="auto"/>
        <w:rPr>
          <w:rFonts w:ascii="Calibri" w:hAnsi="Calibri" w:cs="Calibri"/>
          <w:b/>
        </w:rPr>
      </w:pPr>
      <w:r w:rsidRPr="004652F2">
        <w:rPr>
          <w:rFonts w:ascii="Calibri" w:hAnsi="Calibri" w:cs="Calibri"/>
          <w:b/>
        </w:rPr>
        <w:t>Explanation</w:t>
      </w:r>
    </w:p>
    <w:p w14:paraId="0B5DA6AA" w14:textId="14803A87" w:rsidR="004652F2" w:rsidRDefault="004652F2" w:rsidP="004652F2">
      <w:pPr>
        <w:spacing w:line="480" w:lineRule="auto"/>
        <w:rPr>
          <w:rFonts w:ascii="Calibri" w:hAnsi="Calibri" w:cs="Calibri"/>
        </w:rPr>
      </w:pPr>
      <w:r w:rsidRPr="004652F2">
        <w:rPr>
          <w:rFonts w:ascii="Calibri" w:hAnsi="Calibri" w:cs="Calibri"/>
        </w:rPr>
        <w:t xml:space="preserve">Elevated urine catecholamines are present in about 90% of neuroblastoma cases. A diagnosis of neuroblastoma can be made if elevated catecholamines are detected and bone marrow pathology is consistent with neuroblastoma. </w:t>
      </w:r>
      <w:r w:rsidR="002D5EE4">
        <w:rPr>
          <w:rFonts w:ascii="Calibri" w:hAnsi="Calibri" w:cs="Calibri"/>
        </w:rPr>
        <w:t>However</w:t>
      </w:r>
      <w:r w:rsidRPr="004652F2">
        <w:rPr>
          <w:rFonts w:ascii="Calibri" w:hAnsi="Calibri" w:cs="Calibri"/>
        </w:rPr>
        <w:t xml:space="preserve">, a tumor biopsy for molecular analysis should be performed whenever possible. Serum </w:t>
      </w:r>
      <w:r w:rsidR="004977AF" w:rsidRPr="004977AF">
        <w:rPr>
          <w:rFonts w:ascii="Calibri" w:hAnsi="Calibri" w:cs="Calibri"/>
        </w:rPr>
        <w:t xml:space="preserve">alpha fetoprotein </w:t>
      </w:r>
      <w:r w:rsidR="004977AF">
        <w:rPr>
          <w:rFonts w:ascii="Calibri" w:hAnsi="Calibri" w:cs="Calibri"/>
        </w:rPr>
        <w:t>(</w:t>
      </w:r>
      <w:r w:rsidRPr="004652F2">
        <w:rPr>
          <w:rFonts w:ascii="Calibri" w:hAnsi="Calibri" w:cs="Calibri"/>
        </w:rPr>
        <w:t>AFP</w:t>
      </w:r>
      <w:r w:rsidR="004977AF">
        <w:rPr>
          <w:rFonts w:ascii="Calibri" w:hAnsi="Calibri" w:cs="Calibri"/>
        </w:rPr>
        <w:t>)</w:t>
      </w:r>
      <w:r w:rsidRPr="004652F2">
        <w:rPr>
          <w:rFonts w:ascii="Calibri" w:hAnsi="Calibri" w:cs="Calibri"/>
        </w:rPr>
        <w:t xml:space="preserve"> is elevated in hepatoblastoma and germ cell tumors but not neuroblastoma. Elevated ferritin, </w:t>
      </w:r>
      <w:r w:rsidR="004977AF">
        <w:rPr>
          <w:rFonts w:ascii="Calibri" w:hAnsi="Calibri" w:cs="Calibri"/>
        </w:rPr>
        <w:t>l</w:t>
      </w:r>
      <w:r w:rsidR="004977AF" w:rsidRPr="004977AF">
        <w:rPr>
          <w:rFonts w:ascii="Calibri" w:hAnsi="Calibri" w:cs="Calibri"/>
        </w:rPr>
        <w:t xml:space="preserve">actate dehydrogenase </w:t>
      </w:r>
      <w:r w:rsidR="004977AF">
        <w:rPr>
          <w:rFonts w:ascii="Calibri" w:hAnsi="Calibri" w:cs="Calibri"/>
        </w:rPr>
        <w:t>(</w:t>
      </w:r>
      <w:r w:rsidRPr="004652F2">
        <w:rPr>
          <w:rFonts w:ascii="Calibri" w:hAnsi="Calibri" w:cs="Calibri"/>
        </w:rPr>
        <w:t>LDH</w:t>
      </w:r>
      <w:r w:rsidR="004977AF">
        <w:rPr>
          <w:rFonts w:ascii="Calibri" w:hAnsi="Calibri" w:cs="Calibri"/>
        </w:rPr>
        <w:t>),</w:t>
      </w:r>
      <w:r w:rsidRPr="004652F2">
        <w:rPr>
          <w:rFonts w:ascii="Calibri" w:hAnsi="Calibri" w:cs="Calibri"/>
        </w:rPr>
        <w:t xml:space="preserve"> and PET/CT demonstrating numerous osseous metastases can all be seen in neuroblastoma</w:t>
      </w:r>
      <w:r w:rsidR="004977AF">
        <w:rPr>
          <w:rFonts w:ascii="Calibri" w:hAnsi="Calibri" w:cs="Calibri"/>
        </w:rPr>
        <w:t>;</w:t>
      </w:r>
      <w:r w:rsidRPr="004652F2">
        <w:rPr>
          <w:rFonts w:ascii="Calibri" w:hAnsi="Calibri" w:cs="Calibri"/>
        </w:rPr>
        <w:t xml:space="preserve"> however</w:t>
      </w:r>
      <w:r w:rsidR="004977AF">
        <w:rPr>
          <w:rFonts w:ascii="Calibri" w:hAnsi="Calibri" w:cs="Calibri"/>
        </w:rPr>
        <w:t>, they</w:t>
      </w:r>
      <w:r w:rsidRPr="004652F2">
        <w:rPr>
          <w:rFonts w:ascii="Calibri" w:hAnsi="Calibri" w:cs="Calibri"/>
        </w:rPr>
        <w:t xml:space="preserve"> are non-specific findings and cannot confirm the diagnosis.</w:t>
      </w:r>
    </w:p>
    <w:p w14:paraId="626B1D11" w14:textId="4246F3CF" w:rsidR="00B63213" w:rsidRDefault="00B63213" w:rsidP="004652F2">
      <w:pPr>
        <w:spacing w:line="480" w:lineRule="auto"/>
        <w:rPr>
          <w:rFonts w:ascii="Calibri" w:hAnsi="Calibri" w:cs="Calibri"/>
        </w:rPr>
      </w:pPr>
    </w:p>
    <w:p w14:paraId="3792A405" w14:textId="5037AF96" w:rsidR="00B63213" w:rsidRPr="00450F78" w:rsidRDefault="00B63213" w:rsidP="00B63213">
      <w:pPr>
        <w:pStyle w:val="ListParagraph"/>
        <w:numPr>
          <w:ilvl w:val="0"/>
          <w:numId w:val="1"/>
        </w:numPr>
        <w:spacing w:line="480" w:lineRule="auto"/>
        <w:rPr>
          <w:color w:val="000000" w:themeColor="text1"/>
        </w:rPr>
      </w:pPr>
      <w:r w:rsidRPr="00450F78">
        <w:rPr>
          <w:color w:val="000000" w:themeColor="text1"/>
        </w:rPr>
        <w:t xml:space="preserve">A toddler presents with secretory diarrhea, hypokalemia, and abdominal pain. Exam reveals abdominal distension and a questionable mass. Subsequent anatomical imaging demonstrates a retroperitoneal infiltrative soft tissue mass. </w:t>
      </w:r>
    </w:p>
    <w:p w14:paraId="0FAB13A9" w14:textId="77777777" w:rsidR="00B63213" w:rsidRPr="00450F78" w:rsidRDefault="00B63213" w:rsidP="00B63213">
      <w:pPr>
        <w:spacing w:line="480" w:lineRule="auto"/>
        <w:rPr>
          <w:color w:val="000000" w:themeColor="text1"/>
        </w:rPr>
      </w:pPr>
    </w:p>
    <w:p w14:paraId="62D6E5B8" w14:textId="73A8C303" w:rsidR="00B63213" w:rsidRDefault="00B63213" w:rsidP="00B63213">
      <w:pPr>
        <w:spacing w:line="480" w:lineRule="auto"/>
        <w:rPr>
          <w:color w:val="000000" w:themeColor="text1"/>
        </w:rPr>
      </w:pPr>
      <w:r w:rsidRPr="00450F78">
        <w:rPr>
          <w:color w:val="000000" w:themeColor="text1"/>
        </w:rPr>
        <w:t>What is the most likely etiology of the patient’s diarrhea?</w:t>
      </w:r>
    </w:p>
    <w:p w14:paraId="2C4E3ED4" w14:textId="77777777" w:rsidR="00B63213" w:rsidRPr="00B63213" w:rsidRDefault="00B63213" w:rsidP="00B63213">
      <w:pPr>
        <w:spacing w:line="480" w:lineRule="auto"/>
        <w:rPr>
          <w:color w:val="000000" w:themeColor="text1"/>
        </w:rPr>
      </w:pPr>
    </w:p>
    <w:p w14:paraId="6937A985" w14:textId="5F6B5B84" w:rsidR="00B63213" w:rsidRPr="00B63213" w:rsidRDefault="00B63213" w:rsidP="00B63213">
      <w:pPr>
        <w:spacing w:line="480" w:lineRule="auto"/>
        <w:ind w:left="720"/>
        <w:rPr>
          <w:color w:val="000000" w:themeColor="text1"/>
        </w:rPr>
      </w:pPr>
      <w:r w:rsidRPr="00B63213">
        <w:rPr>
          <w:rFonts w:eastAsia="Calibri"/>
          <w:color w:val="000000" w:themeColor="text1"/>
        </w:rPr>
        <w:t>a.</w:t>
      </w:r>
      <w:r w:rsidR="004977AF">
        <w:rPr>
          <w:rFonts w:eastAsia="Calibri"/>
          <w:color w:val="000000" w:themeColor="text1"/>
        </w:rPr>
        <w:tab/>
      </w:r>
      <w:r w:rsidRPr="00B63213">
        <w:rPr>
          <w:color w:val="000000" w:themeColor="text1"/>
        </w:rPr>
        <w:t>Neuroblastoma with diarrhea caused by infiltration of mesenteric vasculature</w:t>
      </w:r>
    </w:p>
    <w:p w14:paraId="176F3FD1" w14:textId="34A2D2D0" w:rsidR="00B63213" w:rsidRPr="00B63213" w:rsidRDefault="00B63213" w:rsidP="00B63213">
      <w:pPr>
        <w:spacing w:line="480" w:lineRule="auto"/>
        <w:ind w:left="720"/>
        <w:rPr>
          <w:color w:val="000000" w:themeColor="text1"/>
        </w:rPr>
      </w:pPr>
      <w:r w:rsidRPr="00B63213">
        <w:rPr>
          <w:rFonts w:eastAsia="Calibri"/>
          <w:color w:val="000000" w:themeColor="text1"/>
        </w:rPr>
        <w:t>b.</w:t>
      </w:r>
      <w:r w:rsidR="004977AF">
        <w:rPr>
          <w:rFonts w:eastAsia="Calibri"/>
          <w:color w:val="000000" w:themeColor="text1"/>
        </w:rPr>
        <w:tab/>
      </w:r>
      <w:r w:rsidRPr="00B63213">
        <w:rPr>
          <w:color w:val="000000" w:themeColor="text1"/>
        </w:rPr>
        <w:t>Neuroblastoma with diarrhea caused by tumor-related catecholamine secretion</w:t>
      </w:r>
    </w:p>
    <w:p w14:paraId="21EFE901" w14:textId="657E32B4" w:rsidR="00B63213" w:rsidRPr="00B63213" w:rsidRDefault="00B63213" w:rsidP="00B63213">
      <w:pPr>
        <w:spacing w:line="480" w:lineRule="auto"/>
        <w:ind w:left="720"/>
        <w:rPr>
          <w:color w:val="000000" w:themeColor="text1"/>
        </w:rPr>
      </w:pPr>
      <w:r w:rsidRPr="00B63213">
        <w:rPr>
          <w:rFonts w:eastAsia="Calibri"/>
          <w:color w:val="000000" w:themeColor="text1"/>
          <w:highlight w:val="yellow"/>
        </w:rPr>
        <w:t>c.</w:t>
      </w:r>
      <w:r w:rsidR="004977AF">
        <w:rPr>
          <w:rFonts w:eastAsia="Calibri"/>
          <w:color w:val="000000" w:themeColor="text1"/>
          <w:highlight w:val="yellow"/>
        </w:rPr>
        <w:tab/>
      </w:r>
      <w:r w:rsidRPr="00B63213">
        <w:rPr>
          <w:color w:val="000000" w:themeColor="text1"/>
          <w:highlight w:val="yellow"/>
        </w:rPr>
        <w:t>Neuroblastoma with diarrhea caused by vasoactive intestinal peptide</w:t>
      </w:r>
    </w:p>
    <w:p w14:paraId="0BCA880F" w14:textId="356C059F" w:rsidR="00B63213" w:rsidRPr="00B63213" w:rsidRDefault="00B63213" w:rsidP="00B63213">
      <w:pPr>
        <w:spacing w:line="480" w:lineRule="auto"/>
        <w:ind w:left="720"/>
        <w:rPr>
          <w:color w:val="000000" w:themeColor="text1"/>
        </w:rPr>
      </w:pPr>
      <w:r w:rsidRPr="00B63213">
        <w:rPr>
          <w:rFonts w:eastAsia="Calibri"/>
          <w:color w:val="000000" w:themeColor="text1"/>
        </w:rPr>
        <w:t>d.</w:t>
      </w:r>
      <w:r w:rsidR="004977AF">
        <w:rPr>
          <w:rFonts w:eastAsia="Calibri"/>
          <w:color w:val="000000" w:themeColor="text1"/>
        </w:rPr>
        <w:tab/>
      </w:r>
      <w:r w:rsidRPr="00B63213">
        <w:rPr>
          <w:color w:val="000000" w:themeColor="text1"/>
        </w:rPr>
        <w:t>Neuroblastoma with diarrhea caused by concurrent infectious gastroenteritis</w:t>
      </w:r>
    </w:p>
    <w:p w14:paraId="73D25FDE" w14:textId="77777777" w:rsidR="00B63213" w:rsidRPr="00B63213" w:rsidRDefault="00B63213" w:rsidP="00B63213">
      <w:pPr>
        <w:spacing w:line="480" w:lineRule="auto"/>
        <w:rPr>
          <w:color w:val="000000" w:themeColor="text1"/>
        </w:rPr>
      </w:pPr>
    </w:p>
    <w:p w14:paraId="68B4BF3B" w14:textId="77777777" w:rsidR="00B63213" w:rsidRPr="00B63213" w:rsidRDefault="00B63213" w:rsidP="00B63213">
      <w:pPr>
        <w:spacing w:line="480" w:lineRule="auto"/>
        <w:rPr>
          <w:b/>
          <w:color w:val="000000" w:themeColor="text1"/>
        </w:rPr>
      </w:pPr>
      <w:r w:rsidRPr="00B63213">
        <w:rPr>
          <w:b/>
          <w:color w:val="000000" w:themeColor="text1"/>
        </w:rPr>
        <w:t>Explanation</w:t>
      </w:r>
    </w:p>
    <w:p w14:paraId="791936BD" w14:textId="3FD75AD0" w:rsidR="00B63213" w:rsidRDefault="00B63213" w:rsidP="00B63213">
      <w:pPr>
        <w:spacing w:line="480" w:lineRule="auto"/>
        <w:rPr>
          <w:color w:val="000000" w:themeColor="text1"/>
        </w:rPr>
      </w:pPr>
      <w:r w:rsidRPr="00B63213">
        <w:rPr>
          <w:color w:val="000000" w:themeColor="text1"/>
        </w:rPr>
        <w:t xml:space="preserve">Secretory diarrhea is a rare syndrome associated with neuroblastoma, usually occurring in toddlers with retroperitoneal mass. The syndrome is caused by tumor secretion of vasoactive intestinal peptide (VIP). VIP acts on the intestinal epithelial cells via the blood circulation, causing excessive secretion of intestinal fluid, promoting pancreatic juice and bile </w:t>
      </w:r>
      <w:proofErr w:type="gramStart"/>
      <w:r w:rsidRPr="00B63213">
        <w:rPr>
          <w:color w:val="000000" w:themeColor="text1"/>
        </w:rPr>
        <w:t>secretion</w:t>
      </w:r>
      <w:proofErr w:type="gramEnd"/>
      <w:r w:rsidRPr="00B63213">
        <w:rPr>
          <w:color w:val="000000" w:themeColor="text1"/>
        </w:rPr>
        <w:t xml:space="preserve"> and exacerbating the loss of water and electrolytes. Although rare, neuroblastoma should be in the differential diagnosis for etiology of noninfectious severe secretory diarrhea.</w:t>
      </w:r>
    </w:p>
    <w:p w14:paraId="43C3AF02" w14:textId="451DCA93" w:rsidR="0081537A" w:rsidRDefault="0081537A" w:rsidP="00B63213">
      <w:pPr>
        <w:spacing w:line="480" w:lineRule="auto"/>
        <w:rPr>
          <w:color w:val="000000" w:themeColor="text1"/>
        </w:rPr>
      </w:pPr>
    </w:p>
    <w:p w14:paraId="1CCA31E8" w14:textId="0A1FDA29" w:rsidR="0081537A" w:rsidRPr="00BE341E" w:rsidRDefault="0081537A" w:rsidP="0081537A">
      <w:pPr>
        <w:pStyle w:val="Question"/>
        <w:numPr>
          <w:ilvl w:val="0"/>
          <w:numId w:val="1"/>
        </w:numPr>
        <w:spacing w:line="480" w:lineRule="auto"/>
        <w:rPr>
          <w:rFonts w:ascii="Times New Roman" w:hAnsi="Times New Roman"/>
          <w:color w:val="auto"/>
        </w:rPr>
      </w:pPr>
      <w:r w:rsidRPr="00BE341E">
        <w:rPr>
          <w:rFonts w:ascii="Times New Roman" w:hAnsi="Times New Roman"/>
          <w:color w:val="auto"/>
        </w:rPr>
        <w:t>Tumor histologic classification is an important prognostic factor for neuroblastoma</w:t>
      </w:r>
      <w:r>
        <w:rPr>
          <w:rFonts w:ascii="Times New Roman" w:hAnsi="Times New Roman"/>
          <w:color w:val="auto"/>
        </w:rPr>
        <w:t>. Which of the following determines this classification?</w:t>
      </w:r>
    </w:p>
    <w:p w14:paraId="13E94177" w14:textId="77777777" w:rsidR="0081537A" w:rsidRPr="00BE341E" w:rsidRDefault="0081537A" w:rsidP="0081537A">
      <w:pPr>
        <w:pStyle w:val="Question"/>
        <w:spacing w:line="480" w:lineRule="auto"/>
        <w:ind w:firstLine="0"/>
        <w:rPr>
          <w:rFonts w:ascii="Times New Roman" w:hAnsi="Times New Roman"/>
          <w:color w:val="auto"/>
        </w:rPr>
      </w:pPr>
    </w:p>
    <w:p w14:paraId="76811DD6" w14:textId="5D7F5F17" w:rsidR="0081537A" w:rsidRPr="00BE341E" w:rsidRDefault="0081537A" w:rsidP="0081537A">
      <w:pPr>
        <w:pStyle w:val="Answers"/>
        <w:spacing w:line="480" w:lineRule="auto"/>
        <w:ind w:left="360" w:firstLine="0"/>
        <w:rPr>
          <w:rFonts w:ascii="Times New Roman" w:hAnsi="Times New Roman"/>
          <w:color w:val="auto"/>
        </w:rPr>
      </w:pPr>
      <w:r>
        <w:rPr>
          <w:rFonts w:ascii="Times New Roman" w:hAnsi="Times New Roman"/>
          <w:color w:val="auto"/>
        </w:rPr>
        <w:lastRenderedPageBreak/>
        <w:t xml:space="preserve">a.  </w:t>
      </w:r>
      <w:r w:rsidRPr="00BE341E">
        <w:rPr>
          <w:rFonts w:ascii="Times New Roman" w:hAnsi="Times New Roman"/>
          <w:color w:val="auto"/>
        </w:rPr>
        <w:t xml:space="preserve">Age, tumor cell apoptosis, and </w:t>
      </w:r>
      <w:r w:rsidRPr="00885356">
        <w:rPr>
          <w:rFonts w:ascii="Times New Roman" w:hAnsi="Times New Roman"/>
          <w:i/>
          <w:color w:val="auto"/>
        </w:rPr>
        <w:t>MYCN</w:t>
      </w:r>
      <w:r w:rsidRPr="00BE341E">
        <w:rPr>
          <w:rFonts w:ascii="Times New Roman" w:hAnsi="Times New Roman"/>
          <w:color w:val="auto"/>
        </w:rPr>
        <w:t xml:space="preserve"> amplification</w:t>
      </w:r>
    </w:p>
    <w:p w14:paraId="52629001" w14:textId="5BC714AC" w:rsidR="0081537A" w:rsidRPr="00BE341E" w:rsidRDefault="0081537A" w:rsidP="0081537A">
      <w:pPr>
        <w:pStyle w:val="Answers"/>
        <w:spacing w:line="480" w:lineRule="auto"/>
        <w:ind w:left="360" w:firstLine="0"/>
        <w:rPr>
          <w:rFonts w:ascii="Times New Roman" w:hAnsi="Times New Roman"/>
          <w:color w:val="auto"/>
        </w:rPr>
      </w:pPr>
      <w:r>
        <w:rPr>
          <w:rFonts w:ascii="Times New Roman" w:hAnsi="Times New Roman"/>
          <w:color w:val="auto"/>
          <w:highlight w:val="yellow"/>
        </w:rPr>
        <w:t xml:space="preserve">b.  </w:t>
      </w:r>
      <w:r w:rsidRPr="00885356">
        <w:rPr>
          <w:rFonts w:ascii="Times New Roman" w:hAnsi="Times New Roman"/>
          <w:color w:val="auto"/>
          <w:highlight w:val="yellow"/>
        </w:rPr>
        <w:t>Age, tumor cell differentiation, and mitosis-karyorrhexis index</w:t>
      </w:r>
    </w:p>
    <w:p w14:paraId="2A3B5A8B" w14:textId="66616706" w:rsidR="0081537A" w:rsidRPr="00BE341E" w:rsidRDefault="0081537A" w:rsidP="0081537A">
      <w:pPr>
        <w:pStyle w:val="Answers"/>
        <w:spacing w:line="480" w:lineRule="auto"/>
        <w:ind w:left="360" w:firstLine="0"/>
        <w:rPr>
          <w:rFonts w:ascii="Times New Roman" w:hAnsi="Times New Roman"/>
          <w:color w:val="auto"/>
        </w:rPr>
      </w:pPr>
      <w:r>
        <w:rPr>
          <w:rFonts w:ascii="Times New Roman" w:hAnsi="Times New Roman"/>
          <w:color w:val="auto"/>
        </w:rPr>
        <w:t xml:space="preserve">c. </w:t>
      </w:r>
      <w:r w:rsidRPr="00BE341E">
        <w:rPr>
          <w:rFonts w:ascii="Times New Roman" w:hAnsi="Times New Roman"/>
          <w:color w:val="auto"/>
        </w:rPr>
        <w:t>Age, tumor cell differentiation, and necrosis</w:t>
      </w:r>
    </w:p>
    <w:p w14:paraId="420D5AB7" w14:textId="5E1EC0EA" w:rsidR="0081537A" w:rsidRPr="00BE341E" w:rsidRDefault="0081537A" w:rsidP="0081537A">
      <w:pPr>
        <w:pStyle w:val="Answers"/>
        <w:spacing w:line="480" w:lineRule="auto"/>
        <w:ind w:left="360" w:firstLine="0"/>
        <w:rPr>
          <w:rFonts w:ascii="Times New Roman" w:hAnsi="Times New Roman"/>
          <w:color w:val="auto"/>
        </w:rPr>
      </w:pPr>
      <w:r>
        <w:rPr>
          <w:rFonts w:ascii="Times New Roman" w:hAnsi="Times New Roman"/>
          <w:color w:val="auto"/>
        </w:rPr>
        <w:t xml:space="preserve">d. </w:t>
      </w:r>
      <w:r w:rsidRPr="00BE341E">
        <w:rPr>
          <w:rFonts w:ascii="Times New Roman" w:hAnsi="Times New Roman"/>
          <w:color w:val="auto"/>
        </w:rPr>
        <w:t>Age, tumor alveolar histology, and DNA index (ploidy)</w:t>
      </w:r>
    </w:p>
    <w:p w14:paraId="155DFE9E" w14:textId="77777777" w:rsidR="0081537A" w:rsidRPr="00BE341E" w:rsidRDefault="0081537A" w:rsidP="0081537A">
      <w:pPr>
        <w:pStyle w:val="Author"/>
        <w:tabs>
          <w:tab w:val="right" w:leader="dot" w:pos="720"/>
        </w:tabs>
        <w:spacing w:line="480" w:lineRule="auto"/>
        <w:rPr>
          <w:rFonts w:ascii="Times New Roman" w:hAnsi="Times New Roman"/>
          <w:i w:val="0"/>
          <w:color w:val="auto"/>
        </w:rPr>
      </w:pPr>
    </w:p>
    <w:p w14:paraId="51FDA899" w14:textId="77777777" w:rsidR="0081537A" w:rsidRDefault="0081537A" w:rsidP="0081537A">
      <w:pPr>
        <w:pStyle w:val="Author"/>
        <w:tabs>
          <w:tab w:val="right" w:leader="dot" w:pos="720"/>
        </w:tabs>
        <w:spacing w:line="480" w:lineRule="auto"/>
        <w:rPr>
          <w:rFonts w:ascii="Times New Roman" w:hAnsi="Times New Roman"/>
          <w:b/>
          <w:i w:val="0"/>
          <w:color w:val="auto"/>
        </w:rPr>
      </w:pPr>
      <w:r w:rsidRPr="00885356">
        <w:rPr>
          <w:rFonts w:ascii="Times New Roman" w:hAnsi="Times New Roman"/>
          <w:b/>
          <w:i w:val="0"/>
          <w:color w:val="auto"/>
        </w:rPr>
        <w:t>Explanation</w:t>
      </w:r>
    </w:p>
    <w:p w14:paraId="0B39CE13" w14:textId="11424762" w:rsidR="0081537A" w:rsidRDefault="0081537A" w:rsidP="0081537A">
      <w:pPr>
        <w:pStyle w:val="Author"/>
        <w:tabs>
          <w:tab w:val="right" w:leader="dot" w:pos="720"/>
        </w:tabs>
        <w:spacing w:line="480" w:lineRule="auto"/>
        <w:rPr>
          <w:rFonts w:ascii="Times New Roman" w:hAnsi="Times New Roman"/>
          <w:i w:val="0"/>
          <w:color w:val="auto"/>
        </w:rPr>
      </w:pPr>
      <w:r w:rsidRPr="00BE341E">
        <w:rPr>
          <w:rFonts w:ascii="Times New Roman" w:hAnsi="Times New Roman"/>
          <w:i w:val="0"/>
          <w:color w:val="auto"/>
        </w:rPr>
        <w:t xml:space="preserve">Independent prognostic variables for neuroblastoma include age, stage, histology, </w:t>
      </w:r>
      <w:r w:rsidRPr="00885356">
        <w:rPr>
          <w:rFonts w:ascii="Times New Roman" w:hAnsi="Times New Roman"/>
          <w:color w:val="auto"/>
        </w:rPr>
        <w:t>MYCN</w:t>
      </w:r>
      <w:r w:rsidRPr="00BE341E">
        <w:rPr>
          <w:rFonts w:ascii="Times New Roman" w:hAnsi="Times New Roman"/>
          <w:i w:val="0"/>
          <w:color w:val="auto"/>
        </w:rPr>
        <w:t xml:space="preserve"> amplification, and DNA index. Histology is graded according to the International Neuroblastoma Pathology Classification, which evaluates for degree of tumor cell differentiation and mitosis-karyorrhexis index as related to age (younger than or older than 18 months) to define favorable or unfavorable histology. Alveolar histology is a histologic subtype of rhabdomyosarcoma.</w:t>
      </w:r>
    </w:p>
    <w:p w14:paraId="36B94070" w14:textId="7BE9C740" w:rsidR="001661C6" w:rsidRDefault="001661C6" w:rsidP="0081537A">
      <w:pPr>
        <w:pStyle w:val="Author"/>
        <w:tabs>
          <w:tab w:val="right" w:leader="dot" w:pos="720"/>
        </w:tabs>
        <w:spacing w:line="480" w:lineRule="auto"/>
        <w:rPr>
          <w:rFonts w:ascii="Times New Roman" w:hAnsi="Times New Roman"/>
          <w:i w:val="0"/>
          <w:color w:val="auto"/>
        </w:rPr>
      </w:pPr>
    </w:p>
    <w:p w14:paraId="264F83D2" w14:textId="3CEBBA36" w:rsidR="001661C6" w:rsidRDefault="001661C6" w:rsidP="001661C6">
      <w:pPr>
        <w:pStyle w:val="ListParagraph"/>
        <w:numPr>
          <w:ilvl w:val="0"/>
          <w:numId w:val="1"/>
        </w:numPr>
        <w:spacing w:line="480" w:lineRule="auto"/>
      </w:pPr>
      <w:r w:rsidRPr="00BE341E">
        <w:t>A 9-month-old previously healthy infant presents with abdominal distension. Physical exam is otherwise unremarkable. Radiographic imaging reveals bilateral adrenal masses. Family history is notable for diagnosis of neuroblastoma in the maternal aunt and maternal grandfather.</w:t>
      </w:r>
    </w:p>
    <w:p w14:paraId="5380D62C" w14:textId="77777777" w:rsidR="001661C6" w:rsidRDefault="001661C6" w:rsidP="001661C6">
      <w:pPr>
        <w:spacing w:line="480" w:lineRule="auto"/>
      </w:pPr>
    </w:p>
    <w:p w14:paraId="10A52962" w14:textId="77777777" w:rsidR="001661C6" w:rsidRPr="00BE341E" w:rsidRDefault="001661C6" w:rsidP="001661C6">
      <w:pPr>
        <w:spacing w:line="480" w:lineRule="auto"/>
      </w:pPr>
      <w:r w:rsidRPr="00BE341E">
        <w:t>Which germline genetic abnormality is most likely to be present?</w:t>
      </w:r>
    </w:p>
    <w:p w14:paraId="2B314E73" w14:textId="77777777" w:rsidR="001661C6" w:rsidRPr="00BE341E" w:rsidRDefault="001661C6" w:rsidP="001661C6">
      <w:pPr>
        <w:spacing w:line="480" w:lineRule="auto"/>
        <w:ind w:left="720"/>
      </w:pPr>
    </w:p>
    <w:p w14:paraId="1D9B4DF2" w14:textId="15CDC846" w:rsidR="001661C6" w:rsidRPr="00BE341E" w:rsidRDefault="001661C6" w:rsidP="001661C6">
      <w:pPr>
        <w:spacing w:line="480" w:lineRule="auto"/>
        <w:ind w:left="720"/>
      </w:pPr>
      <w:r>
        <w:t xml:space="preserve">a. </w:t>
      </w:r>
      <w:r w:rsidRPr="00885356">
        <w:rPr>
          <w:i/>
        </w:rPr>
        <w:t>NF1</w:t>
      </w:r>
      <w:r w:rsidRPr="00BE341E">
        <w:t xml:space="preserve"> mutation</w:t>
      </w:r>
    </w:p>
    <w:p w14:paraId="6A0A1148" w14:textId="5B0723C9" w:rsidR="001661C6" w:rsidRPr="00BE341E" w:rsidRDefault="001661C6" w:rsidP="001661C6">
      <w:pPr>
        <w:spacing w:line="480" w:lineRule="auto"/>
        <w:ind w:left="720"/>
      </w:pPr>
      <w:r>
        <w:t xml:space="preserve">b. </w:t>
      </w:r>
      <w:r w:rsidRPr="00885356">
        <w:rPr>
          <w:i/>
        </w:rPr>
        <w:t>PHOX2B</w:t>
      </w:r>
    </w:p>
    <w:p w14:paraId="1F45E53A" w14:textId="091CE4E3" w:rsidR="001661C6" w:rsidRPr="00BE341E" w:rsidRDefault="001661C6" w:rsidP="001661C6">
      <w:pPr>
        <w:spacing w:line="480" w:lineRule="auto"/>
        <w:ind w:left="720"/>
      </w:pPr>
      <w:r>
        <w:rPr>
          <w:highlight w:val="yellow"/>
        </w:rPr>
        <w:t xml:space="preserve">c. </w:t>
      </w:r>
      <w:r w:rsidRPr="00885356">
        <w:rPr>
          <w:i/>
          <w:highlight w:val="yellow"/>
        </w:rPr>
        <w:t>ALK</w:t>
      </w:r>
    </w:p>
    <w:p w14:paraId="5777B564" w14:textId="11F2FA30" w:rsidR="001661C6" w:rsidRPr="00BE341E" w:rsidRDefault="001661C6" w:rsidP="001661C6">
      <w:pPr>
        <w:spacing w:line="480" w:lineRule="auto"/>
        <w:ind w:left="720"/>
      </w:pPr>
      <w:r>
        <w:t xml:space="preserve">d. </w:t>
      </w:r>
      <w:r w:rsidRPr="00885356">
        <w:rPr>
          <w:i/>
        </w:rPr>
        <w:t>TP53</w:t>
      </w:r>
    </w:p>
    <w:p w14:paraId="26769692" w14:textId="77777777" w:rsidR="001661C6" w:rsidRPr="00BE341E" w:rsidRDefault="001661C6" w:rsidP="001661C6">
      <w:pPr>
        <w:spacing w:line="480" w:lineRule="auto"/>
      </w:pPr>
    </w:p>
    <w:p w14:paraId="2E7B1F54" w14:textId="77777777" w:rsidR="001661C6" w:rsidRDefault="001661C6" w:rsidP="001661C6">
      <w:pPr>
        <w:spacing w:line="480" w:lineRule="auto"/>
        <w:rPr>
          <w:b/>
        </w:rPr>
      </w:pPr>
      <w:r w:rsidRPr="00885356">
        <w:rPr>
          <w:b/>
        </w:rPr>
        <w:t>Explanation</w:t>
      </w:r>
    </w:p>
    <w:p w14:paraId="446DAD83" w14:textId="556E8DC7" w:rsidR="001661C6" w:rsidRPr="00BE341E" w:rsidRDefault="001661C6" w:rsidP="001661C6">
      <w:pPr>
        <w:spacing w:line="480" w:lineRule="auto"/>
      </w:pPr>
      <w:r w:rsidRPr="00BE341E">
        <w:t>Neuroblastoma usually arises sporadically in infancy and young childhood. About 1%</w:t>
      </w:r>
      <w:r>
        <w:t xml:space="preserve"> to </w:t>
      </w:r>
      <w:r w:rsidRPr="00BE341E">
        <w:t xml:space="preserve">2% of children with neuroblastoma have familial neuroblastoma with autosomal dominant inheritance, with the most common germline mutations in </w:t>
      </w:r>
      <w:r w:rsidRPr="00885356">
        <w:rPr>
          <w:i/>
        </w:rPr>
        <w:t>ALK</w:t>
      </w:r>
      <w:r w:rsidRPr="00BE341E">
        <w:t xml:space="preserve"> or </w:t>
      </w:r>
      <w:r w:rsidRPr="00885356">
        <w:rPr>
          <w:i/>
        </w:rPr>
        <w:t>PHOX2B</w:t>
      </w:r>
      <w:r w:rsidRPr="00BE341E">
        <w:t xml:space="preserve">. </w:t>
      </w:r>
      <w:r w:rsidRPr="00885356">
        <w:rPr>
          <w:i/>
        </w:rPr>
        <w:t>ALK</w:t>
      </w:r>
      <w:r w:rsidRPr="00BE341E">
        <w:t xml:space="preserve"> is a tyrosine kinase receptor that has a role in cell proliferation</w:t>
      </w:r>
      <w:r w:rsidR="00EB450A">
        <w:t xml:space="preserve">; germline </w:t>
      </w:r>
      <w:r w:rsidR="00EB450A" w:rsidRPr="00EB450A">
        <w:rPr>
          <w:i/>
        </w:rPr>
        <w:t>ALK</w:t>
      </w:r>
      <w:r w:rsidR="00EB450A">
        <w:t xml:space="preserve"> mutations are often associated with bilateral or multifocal disease</w:t>
      </w:r>
      <w:r w:rsidRPr="00BE341E">
        <w:t>.</w:t>
      </w:r>
      <w:r w:rsidR="00EB450A">
        <w:t xml:space="preserve"> </w:t>
      </w:r>
      <w:r w:rsidRPr="00885356">
        <w:rPr>
          <w:i/>
        </w:rPr>
        <w:t>PHOX2B</w:t>
      </w:r>
      <w:r w:rsidRPr="00BE341E">
        <w:t xml:space="preserve"> germline mutations are typically associated with additional neurologic abnormalities, including Hirschsprung disease and central hypoventilation, and therefore are unlikely in this scenario.</w:t>
      </w:r>
    </w:p>
    <w:p w14:paraId="528DD5CA" w14:textId="77777777" w:rsidR="001661C6" w:rsidRPr="00BE341E" w:rsidRDefault="001661C6" w:rsidP="0081537A">
      <w:pPr>
        <w:pStyle w:val="Author"/>
        <w:tabs>
          <w:tab w:val="right" w:leader="dot" w:pos="720"/>
        </w:tabs>
        <w:spacing w:line="480" w:lineRule="auto"/>
        <w:rPr>
          <w:rFonts w:ascii="Times New Roman" w:hAnsi="Times New Roman"/>
          <w:i w:val="0"/>
          <w:color w:val="auto"/>
        </w:rPr>
      </w:pPr>
    </w:p>
    <w:p w14:paraId="22F143FE" w14:textId="77777777" w:rsidR="0081537A" w:rsidRPr="00B63213" w:rsidRDefault="0081537A" w:rsidP="00B63213">
      <w:pPr>
        <w:spacing w:line="480" w:lineRule="auto"/>
        <w:rPr>
          <w:color w:val="000000" w:themeColor="text1"/>
        </w:rPr>
      </w:pPr>
    </w:p>
    <w:p w14:paraId="370435D9" w14:textId="77777777" w:rsidR="00B63213" w:rsidRPr="004652F2" w:rsidRDefault="00B63213" w:rsidP="004652F2">
      <w:pPr>
        <w:spacing w:line="480" w:lineRule="auto"/>
        <w:rPr>
          <w:rFonts w:ascii="Calibri" w:hAnsi="Calibri" w:cs="Calibri"/>
        </w:rPr>
      </w:pPr>
    </w:p>
    <w:p w14:paraId="22CF8427" w14:textId="77777777" w:rsidR="004652F2" w:rsidRPr="004652F2" w:rsidRDefault="004652F2" w:rsidP="004652F2">
      <w:pPr>
        <w:spacing w:line="480" w:lineRule="auto"/>
        <w:ind w:left="720"/>
        <w:rPr>
          <w:rFonts w:ascii="Calibri" w:hAnsi="Calibri" w:cs="Calibri"/>
        </w:rPr>
      </w:pPr>
    </w:p>
    <w:p w14:paraId="0E0D8F15" w14:textId="77777777" w:rsidR="004652F2" w:rsidRPr="004652F2" w:rsidRDefault="004652F2" w:rsidP="004652F2">
      <w:pPr>
        <w:spacing w:line="480" w:lineRule="auto"/>
        <w:ind w:left="720"/>
        <w:rPr>
          <w:rFonts w:ascii="Calibri" w:hAnsi="Calibri" w:cs="Calibri"/>
        </w:rPr>
      </w:pPr>
    </w:p>
    <w:p w14:paraId="3936D3F9" w14:textId="77777777" w:rsidR="004652F2" w:rsidRPr="004652F2" w:rsidRDefault="004652F2" w:rsidP="004652F2">
      <w:pPr>
        <w:spacing w:line="480" w:lineRule="auto"/>
        <w:rPr>
          <w:rFonts w:ascii="Calibri" w:hAnsi="Calibri" w:cs="Calibri"/>
        </w:rPr>
      </w:pPr>
    </w:p>
    <w:p w14:paraId="076ECBE8" w14:textId="77777777" w:rsidR="004652F2" w:rsidRPr="004652F2" w:rsidRDefault="004652F2" w:rsidP="004652F2">
      <w:pPr>
        <w:spacing w:line="480" w:lineRule="auto"/>
        <w:rPr>
          <w:rFonts w:ascii="Calibri" w:hAnsi="Calibri" w:cs="Calibri"/>
        </w:rPr>
      </w:pPr>
    </w:p>
    <w:p w14:paraId="67577284" w14:textId="77777777" w:rsidR="00DC1DF9" w:rsidRPr="004652F2" w:rsidRDefault="00DC1DF9">
      <w:pPr>
        <w:rPr>
          <w:rFonts w:ascii="Calibri" w:hAnsi="Calibri" w:cs="Calibri"/>
        </w:rPr>
      </w:pPr>
    </w:p>
    <w:sectPr w:rsidR="00DC1DF9" w:rsidRPr="004652F2" w:rsidSect="006B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5791B"/>
    <w:multiLevelType w:val="hybridMultilevel"/>
    <w:tmpl w:val="4498FF0A"/>
    <w:lvl w:ilvl="0" w:tplc="3288D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D14BE2"/>
    <w:multiLevelType w:val="hybridMultilevel"/>
    <w:tmpl w:val="A3126E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9763163">
    <w:abstractNumId w:val="1"/>
  </w:num>
  <w:num w:numId="2" w16cid:durableId="135483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F2"/>
    <w:rsid w:val="000453A9"/>
    <w:rsid w:val="000952EB"/>
    <w:rsid w:val="000B3B11"/>
    <w:rsid w:val="000C07A7"/>
    <w:rsid w:val="000E55CC"/>
    <w:rsid w:val="0016202C"/>
    <w:rsid w:val="00165E16"/>
    <w:rsid w:val="001661C6"/>
    <w:rsid w:val="00185058"/>
    <w:rsid w:val="001A5C24"/>
    <w:rsid w:val="001D006A"/>
    <w:rsid w:val="001E7702"/>
    <w:rsid w:val="001F5D45"/>
    <w:rsid w:val="002013CA"/>
    <w:rsid w:val="00211102"/>
    <w:rsid w:val="0024129C"/>
    <w:rsid w:val="00280E00"/>
    <w:rsid w:val="002913AE"/>
    <w:rsid w:val="002946DE"/>
    <w:rsid w:val="002A0E62"/>
    <w:rsid w:val="002C108D"/>
    <w:rsid w:val="002C21F6"/>
    <w:rsid w:val="002D5EE4"/>
    <w:rsid w:val="00397928"/>
    <w:rsid w:val="003A20B0"/>
    <w:rsid w:val="003E058D"/>
    <w:rsid w:val="00403331"/>
    <w:rsid w:val="00413A6A"/>
    <w:rsid w:val="00450D0A"/>
    <w:rsid w:val="00450F78"/>
    <w:rsid w:val="004578E9"/>
    <w:rsid w:val="004652F2"/>
    <w:rsid w:val="004977AF"/>
    <w:rsid w:val="0053136F"/>
    <w:rsid w:val="0053479E"/>
    <w:rsid w:val="0055459A"/>
    <w:rsid w:val="00566FD1"/>
    <w:rsid w:val="005D6EA9"/>
    <w:rsid w:val="005F006C"/>
    <w:rsid w:val="005F605C"/>
    <w:rsid w:val="00621A6B"/>
    <w:rsid w:val="00632F90"/>
    <w:rsid w:val="00655AB6"/>
    <w:rsid w:val="00665994"/>
    <w:rsid w:val="006967F0"/>
    <w:rsid w:val="006B3073"/>
    <w:rsid w:val="006C22DA"/>
    <w:rsid w:val="006F0593"/>
    <w:rsid w:val="00704D9C"/>
    <w:rsid w:val="007343EC"/>
    <w:rsid w:val="00742CC1"/>
    <w:rsid w:val="00753CED"/>
    <w:rsid w:val="007B1606"/>
    <w:rsid w:val="007D48CB"/>
    <w:rsid w:val="0081537A"/>
    <w:rsid w:val="0082259D"/>
    <w:rsid w:val="008664DC"/>
    <w:rsid w:val="008671D9"/>
    <w:rsid w:val="00871A8E"/>
    <w:rsid w:val="00874746"/>
    <w:rsid w:val="00993731"/>
    <w:rsid w:val="009D490F"/>
    <w:rsid w:val="009E1481"/>
    <w:rsid w:val="009F522A"/>
    <w:rsid w:val="00A1202A"/>
    <w:rsid w:val="00A37BA8"/>
    <w:rsid w:val="00A50CFC"/>
    <w:rsid w:val="00A60B7E"/>
    <w:rsid w:val="00A64CF3"/>
    <w:rsid w:val="00AE175F"/>
    <w:rsid w:val="00AE28A6"/>
    <w:rsid w:val="00B1490E"/>
    <w:rsid w:val="00B31CFB"/>
    <w:rsid w:val="00B63213"/>
    <w:rsid w:val="00B82788"/>
    <w:rsid w:val="00B945C5"/>
    <w:rsid w:val="00BA7A8A"/>
    <w:rsid w:val="00BB7F71"/>
    <w:rsid w:val="00BD79B1"/>
    <w:rsid w:val="00C1358E"/>
    <w:rsid w:val="00C25E15"/>
    <w:rsid w:val="00C264AD"/>
    <w:rsid w:val="00C32F0C"/>
    <w:rsid w:val="00C36F02"/>
    <w:rsid w:val="00C51424"/>
    <w:rsid w:val="00C51617"/>
    <w:rsid w:val="00C66414"/>
    <w:rsid w:val="00C91A69"/>
    <w:rsid w:val="00CE2BFD"/>
    <w:rsid w:val="00D12E3B"/>
    <w:rsid w:val="00D134E2"/>
    <w:rsid w:val="00D337A9"/>
    <w:rsid w:val="00D5318F"/>
    <w:rsid w:val="00DC1DF9"/>
    <w:rsid w:val="00DD05E2"/>
    <w:rsid w:val="00E13B6F"/>
    <w:rsid w:val="00E20F07"/>
    <w:rsid w:val="00E3201D"/>
    <w:rsid w:val="00E57743"/>
    <w:rsid w:val="00E80EE4"/>
    <w:rsid w:val="00EB450A"/>
    <w:rsid w:val="00EB76E6"/>
    <w:rsid w:val="00EC7265"/>
    <w:rsid w:val="00ED2FAB"/>
    <w:rsid w:val="00EE0B84"/>
    <w:rsid w:val="00EF755E"/>
    <w:rsid w:val="00F00226"/>
    <w:rsid w:val="00F517CA"/>
    <w:rsid w:val="00F72C3D"/>
    <w:rsid w:val="00F763B1"/>
    <w:rsid w:val="00F76EA2"/>
    <w:rsid w:val="00F77C51"/>
    <w:rsid w:val="00FA151C"/>
    <w:rsid w:val="00FA4890"/>
    <w:rsid w:val="00FD7ECF"/>
    <w:rsid w:val="00FE3B59"/>
    <w:rsid w:val="00FE4AA7"/>
    <w:rsid w:val="00FF706D"/>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AF8C"/>
  <w15:chartTrackingRefBased/>
  <w15:docId w15:val="{8206D4A8-0773-6948-842D-1920B96C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F2"/>
    <w:pPr>
      <w:spacing w:after="200"/>
      <w:ind w:left="720"/>
      <w:contextualSpacing/>
    </w:pPr>
    <w:rPr>
      <w:rFonts w:ascii="Calibri" w:eastAsia="Calibri" w:hAnsi="Calibri"/>
    </w:rPr>
  </w:style>
  <w:style w:type="paragraph" w:styleId="BalloonText">
    <w:name w:val="Balloon Text"/>
    <w:basedOn w:val="Normal"/>
    <w:link w:val="BalloonTextChar"/>
    <w:uiPriority w:val="99"/>
    <w:semiHidden/>
    <w:unhideWhenUsed/>
    <w:rsid w:val="00E80EE4"/>
    <w:rPr>
      <w:sz w:val="18"/>
      <w:szCs w:val="18"/>
    </w:rPr>
  </w:style>
  <w:style w:type="character" w:customStyle="1" w:styleId="BalloonTextChar">
    <w:name w:val="Balloon Text Char"/>
    <w:basedOn w:val="DefaultParagraphFont"/>
    <w:link w:val="BalloonText"/>
    <w:uiPriority w:val="99"/>
    <w:semiHidden/>
    <w:rsid w:val="00E80EE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80EE4"/>
    <w:rPr>
      <w:sz w:val="16"/>
      <w:szCs w:val="16"/>
    </w:rPr>
  </w:style>
  <w:style w:type="paragraph" w:styleId="CommentText">
    <w:name w:val="annotation text"/>
    <w:basedOn w:val="Normal"/>
    <w:link w:val="CommentTextChar"/>
    <w:uiPriority w:val="99"/>
    <w:semiHidden/>
    <w:unhideWhenUsed/>
    <w:rsid w:val="00E80EE4"/>
    <w:rPr>
      <w:sz w:val="20"/>
      <w:szCs w:val="20"/>
    </w:rPr>
  </w:style>
  <w:style w:type="character" w:customStyle="1" w:styleId="CommentTextChar">
    <w:name w:val="Comment Text Char"/>
    <w:basedOn w:val="DefaultParagraphFont"/>
    <w:link w:val="CommentText"/>
    <w:uiPriority w:val="99"/>
    <w:semiHidden/>
    <w:rsid w:val="00E8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EE4"/>
    <w:rPr>
      <w:b/>
      <w:bCs/>
    </w:rPr>
  </w:style>
  <w:style w:type="character" w:customStyle="1" w:styleId="CommentSubjectChar">
    <w:name w:val="Comment Subject Char"/>
    <w:basedOn w:val="CommentTextChar"/>
    <w:link w:val="CommentSubject"/>
    <w:uiPriority w:val="99"/>
    <w:semiHidden/>
    <w:rsid w:val="00E80EE4"/>
    <w:rPr>
      <w:rFonts w:ascii="Times New Roman" w:eastAsia="Times New Roman" w:hAnsi="Times New Roman" w:cs="Times New Roman"/>
      <w:b/>
      <w:bCs/>
      <w:sz w:val="20"/>
      <w:szCs w:val="20"/>
    </w:rPr>
  </w:style>
  <w:style w:type="paragraph" w:customStyle="1" w:styleId="Author">
    <w:name w:val="Author"/>
    <w:uiPriority w:val="99"/>
    <w:qFormat/>
    <w:rsid w:val="0081537A"/>
    <w:pPr>
      <w:autoSpaceDE w:val="0"/>
      <w:autoSpaceDN w:val="0"/>
      <w:adjustRightInd w:val="0"/>
    </w:pPr>
    <w:rPr>
      <w:rFonts w:ascii="Calibri" w:eastAsia="Times New Roman" w:hAnsi="Calibri" w:cs="Times New Roman"/>
      <w:i/>
      <w:color w:val="000000"/>
    </w:rPr>
  </w:style>
  <w:style w:type="paragraph" w:customStyle="1" w:styleId="Question">
    <w:name w:val="Question"/>
    <w:basedOn w:val="Normal"/>
    <w:rsid w:val="0081537A"/>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81537A"/>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52D01-CD19-43A3-B2B0-E4037BFFA08A}">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AA52DE29-1F52-4C5A-8941-28B2603800CD}">
  <ds:schemaRefs>
    <ds:schemaRef ds:uri="http://schemas.microsoft.com/sharepoint/v3/contenttype/forms"/>
  </ds:schemaRefs>
</ds:datastoreItem>
</file>

<file path=customXml/itemProps3.xml><?xml version="1.0" encoding="utf-8"?>
<ds:datastoreItem xmlns:ds="http://schemas.openxmlformats.org/officeDocument/2006/customXml" ds:itemID="{440B1CC9-BA6F-43D0-A8E7-D699B476C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Greengard</dc:creator>
  <cp:keywords/>
  <dc:description/>
  <cp:lastModifiedBy>Cassie McGarigle</cp:lastModifiedBy>
  <cp:revision>5</cp:revision>
  <dcterms:created xsi:type="dcterms:W3CDTF">2020-12-21T23:49:00Z</dcterms:created>
  <dcterms:modified xsi:type="dcterms:W3CDTF">2022-09-02T19:48:00Z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